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jc w:val="center"/>
        <w:rPr>
          <w:rFonts w:hint="eastAsia" w:ascii="黑体" w:hAnsi="黑体" w:eastAsia="黑体" w:cs="黑体"/>
          <w:b/>
          <w:bCs/>
          <w:sz w:val="36"/>
          <w:szCs w:val="36"/>
        </w:rPr>
      </w:pPr>
      <w:r>
        <w:rPr>
          <w:rFonts w:hint="eastAsia" w:ascii="黑体" w:hAnsi="黑体" w:eastAsia="黑体" w:cs="黑体"/>
          <w:b/>
          <w:bCs/>
          <w:sz w:val="36"/>
          <w:szCs w:val="36"/>
          <w:lang w:eastAsia="zh-CN"/>
        </w:rPr>
        <w:t>新安江农贸市场停车楼建设工程</w:t>
      </w:r>
      <w:r>
        <w:rPr>
          <w:rFonts w:hint="eastAsia" w:ascii="黑体" w:hAnsi="黑体" w:eastAsia="黑体" w:cs="黑体"/>
          <w:b/>
          <w:bCs/>
          <w:sz w:val="36"/>
          <w:szCs w:val="36"/>
        </w:rPr>
        <w:t>项目</w:t>
      </w:r>
    </w:p>
    <w:p>
      <w:pPr>
        <w:spacing w:line="500" w:lineRule="exact"/>
        <w:jc w:val="center"/>
        <w:rPr>
          <w:rFonts w:hint="eastAsia" w:ascii="黑体" w:hAnsi="黑体" w:eastAsia="黑体" w:cs="黑体"/>
          <w:b/>
          <w:bCs/>
          <w:sz w:val="36"/>
          <w:szCs w:val="36"/>
        </w:rPr>
      </w:pPr>
      <w:r>
        <w:rPr>
          <w:rFonts w:hint="eastAsia" w:ascii="黑体" w:hAnsi="黑体" w:eastAsia="黑体" w:cs="黑体"/>
          <w:b/>
          <w:bCs/>
          <w:sz w:val="36"/>
          <w:szCs w:val="36"/>
        </w:rPr>
        <w:t>国有土地上房屋征收补偿方案</w:t>
      </w:r>
    </w:p>
    <w:p>
      <w:pPr>
        <w:widowControl/>
        <w:shd w:val="clear" w:color="auto" w:fill="FFFFFF"/>
        <w:spacing w:before="100" w:beforeAutospacing="1" w:after="100" w:afterAutospacing="1" w:line="500" w:lineRule="exact"/>
        <w:jc w:val="center"/>
        <w:rPr>
          <w:rFonts w:hint="eastAsia" w:ascii="仿宋_GB2312" w:hAnsi="黑体" w:eastAsia="仿宋_GB2312" w:cs="宋体"/>
          <w:b/>
          <w:bCs/>
          <w:kern w:val="0"/>
          <w:sz w:val="32"/>
          <w:szCs w:val="32"/>
        </w:rPr>
      </w:pPr>
      <w:r>
        <w:rPr>
          <w:rFonts w:hint="eastAsia" w:ascii="仿宋_GB2312" w:hAnsi="仿宋_GB2312" w:eastAsia="仿宋_GB2312" w:cs="仿宋_GB2312"/>
          <w:b w:val="0"/>
          <w:bCs w:val="0"/>
          <w:kern w:val="0"/>
          <w:sz w:val="32"/>
          <w:szCs w:val="32"/>
          <w:lang w:val="en-US" w:eastAsia="zh-CN"/>
        </w:rPr>
        <w:t>（征求意见稿）</w:t>
      </w:r>
    </w:p>
    <w:p>
      <w:pPr>
        <w:spacing w:line="500" w:lineRule="exact"/>
        <w:ind w:firstLine="640" w:firstLineChars="200"/>
        <w:rPr>
          <w:rFonts w:ascii="仿宋_GB2312" w:hAnsi="仿宋" w:eastAsia="仿宋_GB2312"/>
          <w:sz w:val="32"/>
          <w:szCs w:val="32"/>
        </w:rPr>
      </w:pPr>
      <w:r>
        <w:rPr>
          <w:rFonts w:hint="eastAsia" w:ascii="仿宋_GB2312" w:hAnsi="仿宋" w:eastAsia="仿宋_GB2312"/>
          <w:sz w:val="32"/>
          <w:szCs w:val="32"/>
        </w:rPr>
        <w:t>根据《国有土地上房屋征收与补偿条例》（国务院令第590号）、《浙江省国有土地上房屋征收与补偿条例》</w:t>
      </w:r>
      <w:r>
        <w:rPr>
          <w:rFonts w:hint="eastAsia" w:ascii="仿宋_GB2312" w:hAnsi="仿宋" w:eastAsia="仿宋_GB2312"/>
          <w:sz w:val="32"/>
          <w:szCs w:val="32"/>
          <w:lang w:eastAsia="zh-CN"/>
        </w:rPr>
        <w:t>（浙人常</w:t>
      </w:r>
      <w:r>
        <w:rPr>
          <w:rFonts w:hint="eastAsia" w:ascii="仿宋_GB2312" w:hAnsi="仿宋" w:eastAsia="仿宋_GB2312"/>
          <w:sz w:val="32"/>
          <w:szCs w:val="32"/>
          <w:lang w:val="en-US" w:eastAsia="zh-CN"/>
        </w:rPr>
        <w:t>[2020]34号）、</w:t>
      </w:r>
      <w:r>
        <w:rPr>
          <w:rFonts w:hint="eastAsia" w:ascii="仿宋_GB2312" w:hAnsi="仿宋" w:eastAsia="仿宋_GB2312"/>
          <w:sz w:val="32"/>
          <w:szCs w:val="32"/>
        </w:rPr>
        <w:t>《杭州市人民政府关于贯彻执行〈浙江省国有土地上房屋征收补偿条例〉的若干意见》（杭政函〔2015〕125号）、《建德市国有土地上房屋征收补助和奖励办法》（建政函〔</w:t>
      </w:r>
      <w:bookmarkStart w:id="0" w:name="FileYear"/>
      <w:bookmarkEnd w:id="0"/>
      <w:r>
        <w:rPr>
          <w:rFonts w:hint="eastAsia" w:ascii="仿宋_GB2312" w:hAnsi="仿宋" w:eastAsia="仿宋_GB2312"/>
          <w:sz w:val="32"/>
          <w:szCs w:val="32"/>
        </w:rPr>
        <w:t>2012〕</w:t>
      </w:r>
      <w:bookmarkStart w:id="1" w:name="FileNo"/>
      <w:bookmarkEnd w:id="1"/>
      <w:r>
        <w:rPr>
          <w:rFonts w:hint="eastAsia" w:ascii="仿宋_GB2312" w:hAnsi="仿宋" w:eastAsia="仿宋_GB2312"/>
          <w:sz w:val="32"/>
          <w:szCs w:val="32"/>
        </w:rPr>
        <w:t>119号）等相关法律、法规和政策的规定，结合征收范围内的实际情况，特制定</w:t>
      </w:r>
      <w:r>
        <w:rPr>
          <w:rFonts w:hint="eastAsia" w:ascii="仿宋_GB2312" w:hAnsi="仿宋" w:eastAsia="仿宋_GB2312"/>
          <w:sz w:val="32"/>
          <w:szCs w:val="32"/>
          <w:lang w:eastAsia="zh-CN"/>
        </w:rPr>
        <w:t>新安江农贸市场停车楼建设工程项目</w:t>
      </w:r>
      <w:r>
        <w:rPr>
          <w:rFonts w:hint="eastAsia" w:ascii="仿宋_GB2312" w:hAnsi="仿宋" w:eastAsia="仿宋_GB2312"/>
          <w:sz w:val="32"/>
          <w:szCs w:val="32"/>
        </w:rPr>
        <w:t>国有土地上房屋征收补偿方案。具体内容如下：</w:t>
      </w:r>
    </w:p>
    <w:p>
      <w:pPr>
        <w:spacing w:line="500" w:lineRule="exact"/>
        <w:ind w:firstLine="643" w:firstLineChars="200"/>
        <w:rPr>
          <w:rFonts w:hint="eastAsia" w:ascii="黑体" w:hAnsi="仿宋" w:eastAsia="黑体"/>
          <w:b/>
          <w:sz w:val="32"/>
          <w:szCs w:val="32"/>
        </w:rPr>
      </w:pPr>
      <w:r>
        <w:rPr>
          <w:rFonts w:hint="eastAsia" w:ascii="黑体" w:hAnsi="仿宋" w:eastAsia="黑体"/>
          <w:b/>
          <w:sz w:val="32"/>
          <w:szCs w:val="32"/>
        </w:rPr>
        <w:t>一、征收目的</w:t>
      </w:r>
    </w:p>
    <w:p>
      <w:pPr>
        <w:spacing w:line="500" w:lineRule="exact"/>
        <w:ind w:firstLine="640" w:firstLineChars="200"/>
        <w:rPr>
          <w:rFonts w:hint="eastAsia" w:ascii="黑体" w:hAnsi="仿宋_GB2312" w:eastAsia="黑体"/>
          <w:sz w:val="32"/>
          <w:szCs w:val="32"/>
          <w:lang w:eastAsia="zh-CN"/>
        </w:rPr>
      </w:pPr>
      <w:r>
        <w:rPr>
          <w:rFonts w:hint="eastAsia" w:ascii="仿宋_GB2312" w:hAnsi="仿宋_GB2312" w:eastAsia="仿宋_GB2312" w:cs="仿宋_GB2312"/>
          <w:sz w:val="32"/>
          <w:szCs w:val="32"/>
          <w:lang w:eastAsia="zh-CN"/>
        </w:rPr>
        <w:t>为切实改进新安江主城区停车需求，缓解新安江农贸市场及周边住户停车难问题，完善主城区停车配套，推进公共停车场的系统建设，</w:t>
      </w:r>
      <w:r>
        <w:rPr>
          <w:rFonts w:hint="eastAsia" w:ascii="仿宋_GB2312" w:hAnsi="仿宋_GB2312" w:eastAsia="仿宋_GB2312"/>
          <w:sz w:val="32"/>
          <w:szCs w:val="32"/>
        </w:rPr>
        <w:t>实施该区块的旧城改造工作。</w:t>
      </w:r>
    </w:p>
    <w:p>
      <w:pPr>
        <w:spacing w:line="500" w:lineRule="exact"/>
        <w:ind w:firstLine="643" w:firstLineChars="200"/>
        <w:rPr>
          <w:rFonts w:hint="eastAsia" w:ascii="黑体" w:hAnsi="仿宋" w:eastAsia="黑体"/>
          <w:b/>
          <w:sz w:val="32"/>
          <w:szCs w:val="32"/>
        </w:rPr>
      </w:pPr>
      <w:r>
        <w:rPr>
          <w:rFonts w:hint="eastAsia" w:ascii="黑体" w:hAnsi="仿宋" w:eastAsia="黑体"/>
          <w:b/>
          <w:sz w:val="32"/>
          <w:szCs w:val="32"/>
        </w:rPr>
        <w:t>二、征收原则</w:t>
      </w:r>
    </w:p>
    <w:p>
      <w:pPr>
        <w:spacing w:line="500" w:lineRule="exact"/>
        <w:ind w:firstLine="640" w:firstLineChars="200"/>
        <w:rPr>
          <w:rFonts w:ascii="仿宋_GB2312" w:hAnsi="仿宋" w:eastAsia="仿宋_GB2312"/>
          <w:sz w:val="32"/>
          <w:szCs w:val="32"/>
        </w:rPr>
      </w:pPr>
      <w:r>
        <w:rPr>
          <w:rFonts w:hint="eastAsia" w:ascii="仿宋_GB2312" w:hAnsi="仿宋" w:eastAsia="仿宋_GB2312"/>
          <w:sz w:val="32"/>
          <w:szCs w:val="32"/>
        </w:rPr>
        <w:t>依法征收、决策民主、程序正当、补偿公平、结果公开。</w:t>
      </w:r>
    </w:p>
    <w:p>
      <w:pPr>
        <w:spacing w:line="500" w:lineRule="exact"/>
        <w:ind w:firstLine="643" w:firstLineChars="200"/>
        <w:rPr>
          <w:rFonts w:ascii="黑体" w:hAnsi="仿宋" w:eastAsia="黑体"/>
          <w:b/>
          <w:sz w:val="32"/>
          <w:szCs w:val="32"/>
        </w:rPr>
      </w:pPr>
      <w:r>
        <w:rPr>
          <w:rFonts w:hint="eastAsia" w:ascii="黑体" w:hAnsi="仿宋" w:eastAsia="黑体"/>
          <w:b/>
          <w:sz w:val="32"/>
          <w:szCs w:val="32"/>
        </w:rPr>
        <w:t>三、征收范围</w:t>
      </w:r>
    </w:p>
    <w:p>
      <w:pPr>
        <w:spacing w:line="540" w:lineRule="exact"/>
        <w:ind w:firstLine="66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（一）建德市新安江街道府西社区，四至范围：</w:t>
      </w:r>
    </w:p>
    <w:p>
      <w:pPr>
        <w:spacing w:line="540" w:lineRule="exact"/>
        <w:ind w:firstLine="66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东至：山体；</w:t>
      </w:r>
    </w:p>
    <w:p>
      <w:pPr>
        <w:spacing w:line="540" w:lineRule="exact"/>
        <w:ind w:firstLine="66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南至：拱新路</w:t>
      </w:r>
      <w:r>
        <w:rPr>
          <w:rFonts w:hint="eastAsia" w:ascii="仿宋_GB2312" w:hAnsi="仿宋_GB2312" w:eastAsia="仿宋_GB2312" w:cs="仿宋_GB2312"/>
          <w:sz w:val="32"/>
          <w:szCs w:val="32"/>
          <w:lang w:val="en-US" w:eastAsia="zh-CN"/>
        </w:rPr>
        <w:t>25-1号</w:t>
      </w:r>
      <w:r>
        <w:rPr>
          <w:rFonts w:hint="eastAsia" w:ascii="仿宋_GB2312" w:hAnsi="仿宋_GB2312" w:eastAsia="仿宋_GB2312" w:cs="仿宋_GB2312"/>
          <w:sz w:val="32"/>
          <w:szCs w:val="32"/>
          <w:lang w:eastAsia="zh-CN"/>
        </w:rPr>
        <w:t>；</w:t>
      </w:r>
    </w:p>
    <w:p>
      <w:pPr>
        <w:spacing w:line="540" w:lineRule="exact"/>
        <w:ind w:firstLine="66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西至：拱新路；</w:t>
      </w:r>
    </w:p>
    <w:p>
      <w:pPr>
        <w:spacing w:line="540" w:lineRule="exact"/>
        <w:ind w:firstLine="66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北至：新安路</w:t>
      </w:r>
      <w:r>
        <w:rPr>
          <w:rFonts w:hint="eastAsia" w:ascii="仿宋_GB2312" w:hAnsi="仿宋_GB2312" w:eastAsia="仿宋_GB2312" w:cs="仿宋_GB2312"/>
          <w:sz w:val="32"/>
          <w:szCs w:val="32"/>
          <w:lang w:val="en-US" w:eastAsia="zh-CN"/>
        </w:rPr>
        <w:t>68-78号</w:t>
      </w:r>
      <w:r>
        <w:rPr>
          <w:rFonts w:hint="eastAsia" w:ascii="仿宋_GB2312" w:hAnsi="仿宋_GB2312" w:eastAsia="仿宋_GB2312" w:cs="仿宋_GB2312"/>
          <w:sz w:val="32"/>
          <w:szCs w:val="32"/>
          <w:lang w:eastAsia="zh-CN"/>
        </w:rPr>
        <w:t>。</w:t>
      </w:r>
    </w:p>
    <w:p>
      <w:pPr>
        <w:numPr>
          <w:ilvl w:val="0"/>
          <w:numId w:val="1"/>
        </w:numPr>
        <w:spacing w:line="500" w:lineRule="exact"/>
        <w:ind w:firstLine="640" w:firstLineChars="200"/>
        <w:rPr>
          <w:rFonts w:hint="eastAsia" w:ascii="仿宋_GB2312" w:hAnsi="宋体" w:eastAsia="仿宋_GB2312"/>
          <w:color w:val="000000"/>
          <w:sz w:val="32"/>
          <w:szCs w:val="32"/>
          <w:lang w:eastAsia="zh-CN"/>
        </w:rPr>
      </w:pPr>
      <w:r>
        <w:rPr>
          <w:rFonts w:hint="eastAsia" w:ascii="仿宋_GB2312" w:hAnsi="宋体" w:eastAsia="仿宋_GB2312"/>
          <w:color w:val="000000"/>
          <w:sz w:val="32"/>
          <w:szCs w:val="32"/>
          <w:lang w:eastAsia="zh-CN"/>
        </w:rPr>
        <w:t>具体房屋坐落：</w:t>
      </w:r>
    </w:p>
    <w:p>
      <w:pPr>
        <w:numPr>
          <w:ilvl w:val="0"/>
          <w:numId w:val="0"/>
        </w:numPr>
        <w:spacing w:line="500" w:lineRule="exact"/>
        <w:ind w:firstLine="640" w:firstLineChars="200"/>
        <w:rPr>
          <w:rFonts w:hint="eastAsia" w:ascii="仿宋_GB2312" w:eastAsia="仿宋_GB2312"/>
          <w:kern w:val="0"/>
          <w:sz w:val="32"/>
          <w:szCs w:val="32"/>
        </w:rPr>
      </w:pPr>
      <w:r>
        <w:rPr>
          <w:rFonts w:hint="eastAsia" w:ascii="仿宋_GB2312" w:hAnsi="仿宋" w:eastAsia="仿宋_GB2312"/>
          <w:sz w:val="32"/>
          <w:szCs w:val="32"/>
        </w:rPr>
        <w:t>新安江街道府西社区</w:t>
      </w:r>
      <w:r>
        <w:rPr>
          <w:rFonts w:hint="eastAsia" w:ascii="仿宋_GB2312" w:hAnsi="宋体" w:eastAsia="仿宋_GB2312"/>
          <w:color w:val="000000"/>
          <w:sz w:val="32"/>
          <w:szCs w:val="32"/>
          <w:lang w:eastAsia="zh-CN"/>
        </w:rPr>
        <w:t>拱新路11-1号、拱新路11-4号、拱新路2号、拱新路2-2号、拱新路1号等</w:t>
      </w:r>
      <w:r>
        <w:rPr>
          <w:rFonts w:hint="eastAsia" w:ascii="仿宋_GB2312" w:eastAsia="仿宋_GB2312"/>
          <w:kern w:val="0"/>
          <w:sz w:val="32"/>
          <w:szCs w:val="32"/>
        </w:rPr>
        <w:t>（具体以征收范围图为准）。</w:t>
      </w:r>
    </w:p>
    <w:p>
      <w:pPr>
        <w:spacing w:line="500" w:lineRule="exact"/>
        <w:ind w:firstLine="640" w:firstLineChars="200"/>
        <w:rPr>
          <w:rFonts w:hint="eastAsia" w:ascii="仿宋_GB2312" w:hAnsi="仿宋_GB2312" w:eastAsia="仿宋_GB2312" w:cs="仿宋_GB2312"/>
          <w:b w:val="0"/>
          <w:bCs/>
          <w:sz w:val="32"/>
          <w:szCs w:val="32"/>
        </w:rPr>
      </w:pPr>
      <w:r>
        <w:rPr>
          <w:rFonts w:hint="eastAsia" w:ascii="仿宋_GB2312" w:hAnsi="仿宋_GB2312" w:eastAsia="仿宋_GB2312" w:cs="仿宋_GB2312"/>
          <w:b w:val="0"/>
          <w:bCs/>
          <w:sz w:val="32"/>
          <w:szCs w:val="32"/>
          <w:lang w:eastAsia="zh-CN"/>
        </w:rPr>
        <w:t>（三）</w:t>
      </w:r>
      <w:r>
        <w:rPr>
          <w:rFonts w:hint="eastAsia" w:ascii="仿宋_GB2312" w:hAnsi="仿宋_GB2312" w:eastAsia="仿宋_GB2312" w:cs="仿宋_GB2312"/>
          <w:b w:val="0"/>
          <w:bCs/>
          <w:sz w:val="32"/>
          <w:szCs w:val="32"/>
        </w:rPr>
        <w:t>被征收房屋户数和面积</w:t>
      </w:r>
    </w:p>
    <w:p>
      <w:pPr>
        <w:spacing w:line="500" w:lineRule="exact"/>
        <w:ind w:firstLine="640" w:firstLineChars="200"/>
        <w:rPr>
          <w:rFonts w:ascii="仿宋_GB2312" w:hAnsi="仿宋" w:eastAsia="仿宋_GB2312"/>
          <w:color w:val="auto"/>
          <w:sz w:val="32"/>
          <w:szCs w:val="32"/>
        </w:rPr>
      </w:pPr>
      <w:r>
        <w:rPr>
          <w:rFonts w:hint="eastAsia" w:ascii="仿宋_GB2312" w:hAnsi="仿宋_GB2312" w:eastAsia="仿宋_GB2312" w:cs="仿宋_GB2312"/>
          <w:b w:val="0"/>
          <w:bCs/>
          <w:sz w:val="32"/>
          <w:szCs w:val="32"/>
        </w:rPr>
        <w:t>征收范围内</w:t>
      </w:r>
      <w:r>
        <w:rPr>
          <w:rFonts w:hint="eastAsia" w:ascii="仿宋_GB2312" w:hAnsi="仿宋_GB2312" w:eastAsia="仿宋_GB2312" w:cs="仿宋_GB2312"/>
          <w:b w:val="0"/>
          <w:bCs/>
          <w:sz w:val="32"/>
          <w:szCs w:val="32"/>
          <w:lang w:eastAsia="zh-CN"/>
        </w:rPr>
        <w:t>共</w:t>
      </w:r>
      <w:r>
        <w:rPr>
          <w:rFonts w:hint="eastAsia" w:ascii="仿宋_GB2312" w:hAnsi="仿宋_GB2312" w:eastAsia="仿宋_GB2312" w:cs="仿宋_GB2312"/>
          <w:b w:val="0"/>
          <w:bCs/>
          <w:sz w:val="32"/>
          <w:szCs w:val="32"/>
        </w:rPr>
        <w:t>涉及</w:t>
      </w:r>
      <w:r>
        <w:rPr>
          <w:rFonts w:hint="eastAsia" w:ascii="仿宋_GB2312" w:hAnsi="仿宋_GB2312" w:eastAsia="仿宋_GB2312" w:cs="仿宋_GB2312"/>
          <w:b w:val="0"/>
          <w:bCs/>
          <w:sz w:val="32"/>
          <w:szCs w:val="32"/>
          <w:lang w:eastAsia="zh-CN"/>
        </w:rPr>
        <w:t>被征收单位</w:t>
      </w:r>
      <w:r>
        <w:rPr>
          <w:rFonts w:hint="eastAsia" w:ascii="仿宋_GB2312" w:hAnsi="仿宋_GB2312" w:eastAsia="仿宋_GB2312" w:cs="仿宋_GB2312"/>
          <w:b w:val="0"/>
          <w:bCs/>
          <w:sz w:val="32"/>
          <w:szCs w:val="32"/>
        </w:rPr>
        <w:t>共计</w:t>
      </w:r>
      <w:r>
        <w:rPr>
          <w:rFonts w:hint="eastAsia" w:ascii="仿宋_GB2312" w:hAnsi="仿宋_GB2312" w:eastAsia="仿宋_GB2312" w:cs="仿宋_GB2312"/>
          <w:b w:val="0"/>
          <w:bCs/>
          <w:sz w:val="32"/>
          <w:szCs w:val="32"/>
          <w:lang w:val="en-US" w:eastAsia="zh-CN"/>
        </w:rPr>
        <w:t>4</w:t>
      </w:r>
      <w:r>
        <w:rPr>
          <w:rFonts w:hint="eastAsia" w:ascii="仿宋_GB2312" w:hAnsi="仿宋_GB2312" w:eastAsia="仿宋_GB2312" w:cs="仿宋_GB2312"/>
          <w:b w:val="0"/>
          <w:bCs/>
          <w:sz w:val="32"/>
          <w:szCs w:val="32"/>
          <w:lang w:eastAsia="zh-CN"/>
        </w:rPr>
        <w:t>家，用途为非住宅，</w:t>
      </w:r>
      <w:r>
        <w:rPr>
          <w:rFonts w:hint="eastAsia" w:ascii="仿宋_GB2312" w:hAnsi="仿宋_GB2312" w:eastAsia="仿宋_GB2312" w:cs="仿宋_GB2312"/>
          <w:b w:val="0"/>
          <w:bCs/>
          <w:sz w:val="32"/>
          <w:szCs w:val="32"/>
        </w:rPr>
        <w:t>总建筑面积</w:t>
      </w:r>
      <w:r>
        <w:rPr>
          <w:rFonts w:hint="eastAsia" w:ascii="仿宋_GB2312" w:hAnsi="仿宋_GB2312" w:eastAsia="仿宋_GB2312" w:cs="仿宋_GB2312"/>
          <w:b w:val="0"/>
          <w:bCs/>
          <w:sz w:val="32"/>
          <w:szCs w:val="32"/>
          <w:lang w:eastAsia="zh-CN"/>
        </w:rPr>
        <w:t>约</w:t>
      </w:r>
      <w:r>
        <w:rPr>
          <w:rFonts w:hint="eastAsia" w:ascii="仿宋_GB2312" w:hAnsi="仿宋_GB2312" w:eastAsia="仿宋_GB2312" w:cs="仿宋_GB2312"/>
          <w:b w:val="0"/>
          <w:bCs/>
          <w:sz w:val="32"/>
          <w:szCs w:val="32"/>
          <w:lang w:val="en-US" w:eastAsia="zh-CN"/>
        </w:rPr>
        <w:t>4440</w:t>
      </w:r>
      <w:r>
        <w:rPr>
          <w:rFonts w:hint="eastAsia" w:ascii="仿宋_GB2312" w:hAnsi="仿宋_GB2312" w:eastAsia="仿宋_GB2312" w:cs="仿宋_GB2312"/>
          <w:b w:val="0"/>
          <w:bCs/>
          <w:sz w:val="32"/>
          <w:szCs w:val="32"/>
        </w:rPr>
        <w:t>平方米，土地面积</w:t>
      </w:r>
      <w:r>
        <w:rPr>
          <w:rFonts w:hint="eastAsia" w:ascii="仿宋_GB2312" w:hAnsi="仿宋_GB2312" w:eastAsia="仿宋_GB2312" w:cs="仿宋_GB2312"/>
          <w:b w:val="0"/>
          <w:bCs/>
          <w:sz w:val="32"/>
          <w:szCs w:val="32"/>
          <w:lang w:eastAsia="zh-CN"/>
        </w:rPr>
        <w:t>约</w:t>
      </w:r>
      <w:r>
        <w:rPr>
          <w:rFonts w:hint="eastAsia" w:ascii="仿宋_GB2312" w:hAnsi="仿宋_GB2312" w:eastAsia="仿宋_GB2312" w:cs="仿宋_GB2312"/>
          <w:b w:val="0"/>
          <w:bCs/>
          <w:sz w:val="32"/>
          <w:szCs w:val="32"/>
          <w:lang w:val="en-US" w:eastAsia="zh-CN"/>
        </w:rPr>
        <w:t>2653</w:t>
      </w:r>
      <w:r>
        <w:rPr>
          <w:rFonts w:hint="eastAsia" w:ascii="仿宋_GB2312" w:hAnsi="仿宋_GB2312" w:eastAsia="仿宋_GB2312" w:cs="仿宋_GB2312"/>
          <w:b w:val="0"/>
          <w:bCs/>
          <w:sz w:val="32"/>
          <w:szCs w:val="32"/>
        </w:rPr>
        <w:t>平方米（最终</w:t>
      </w:r>
      <w:r>
        <w:rPr>
          <w:rFonts w:hint="eastAsia" w:ascii="仿宋_GB2312" w:hAnsi="仿宋" w:eastAsia="仿宋_GB2312"/>
          <w:color w:val="auto"/>
          <w:sz w:val="32"/>
          <w:szCs w:val="32"/>
        </w:rPr>
        <w:t>以实际核准数为准）。</w:t>
      </w:r>
    </w:p>
    <w:p>
      <w:pPr>
        <w:spacing w:line="500" w:lineRule="exact"/>
        <w:ind w:firstLine="643" w:firstLineChars="200"/>
        <w:rPr>
          <w:rFonts w:ascii="黑体" w:hAnsi="仿宋" w:eastAsia="黑体"/>
          <w:b/>
          <w:sz w:val="32"/>
          <w:szCs w:val="32"/>
        </w:rPr>
      </w:pPr>
      <w:r>
        <w:rPr>
          <w:rFonts w:hint="eastAsia" w:ascii="黑体" w:hAnsi="仿宋" w:eastAsia="黑体"/>
          <w:b/>
          <w:sz w:val="32"/>
          <w:szCs w:val="32"/>
        </w:rPr>
        <w:t>四、征收补偿方式</w:t>
      </w:r>
    </w:p>
    <w:p>
      <w:pPr>
        <w:spacing w:line="500" w:lineRule="exact"/>
        <w:ind w:firstLine="640" w:firstLineChars="200"/>
        <w:rPr>
          <w:rFonts w:ascii="仿宋_GB2312" w:hAnsi="仿宋" w:eastAsia="仿宋_GB2312"/>
          <w:sz w:val="32"/>
          <w:szCs w:val="32"/>
        </w:rPr>
      </w:pPr>
      <w:r>
        <w:rPr>
          <w:rFonts w:hint="eastAsia" w:ascii="仿宋_GB2312" w:hAnsi="仿宋" w:eastAsia="仿宋_GB2312"/>
          <w:sz w:val="32"/>
          <w:szCs w:val="32"/>
        </w:rPr>
        <w:t>本项目征收补偿方式采用货币补偿和产权调换两种方式，并明确相关补助和奖励政策。被征收单位享受相关补助和奖励政策</w:t>
      </w:r>
      <w:r>
        <w:rPr>
          <w:rFonts w:hint="eastAsia" w:ascii="仿宋_GB2312" w:hAnsi="仿宋" w:eastAsia="仿宋_GB2312"/>
          <w:sz w:val="32"/>
          <w:szCs w:val="32"/>
          <w:lang w:eastAsia="zh-CN"/>
        </w:rPr>
        <w:t>（附属物不享受）</w:t>
      </w:r>
      <w:r>
        <w:rPr>
          <w:rFonts w:hint="eastAsia" w:ascii="仿宋_GB2312" w:hAnsi="仿宋" w:eastAsia="仿宋_GB2312"/>
          <w:sz w:val="32"/>
          <w:szCs w:val="32"/>
        </w:rPr>
        <w:t>。</w:t>
      </w:r>
    </w:p>
    <w:p>
      <w:pPr>
        <w:spacing w:line="500" w:lineRule="exact"/>
        <w:ind w:firstLine="643" w:firstLineChars="200"/>
        <w:rPr>
          <w:rFonts w:hint="eastAsia" w:ascii="楷体_GB2312" w:hAnsi="仿宋" w:eastAsia="楷体_GB2312"/>
          <w:b/>
          <w:sz w:val="32"/>
          <w:szCs w:val="32"/>
        </w:rPr>
      </w:pPr>
      <w:r>
        <w:rPr>
          <w:rFonts w:hint="eastAsia" w:ascii="楷体_GB2312" w:hAnsi="仿宋" w:eastAsia="楷体_GB2312"/>
          <w:b/>
          <w:sz w:val="32"/>
          <w:szCs w:val="32"/>
        </w:rPr>
        <w:t>（</w:t>
      </w:r>
      <w:r>
        <w:rPr>
          <w:rFonts w:hint="eastAsia" w:ascii="楷体_GB2312" w:hAnsi="仿宋" w:eastAsia="楷体_GB2312"/>
          <w:b/>
          <w:sz w:val="32"/>
          <w:szCs w:val="32"/>
          <w:lang w:eastAsia="zh-CN"/>
        </w:rPr>
        <w:t>一</w:t>
      </w:r>
      <w:r>
        <w:rPr>
          <w:rFonts w:hint="eastAsia" w:ascii="楷体_GB2312" w:hAnsi="仿宋" w:eastAsia="楷体_GB2312"/>
          <w:b/>
          <w:sz w:val="32"/>
          <w:szCs w:val="32"/>
        </w:rPr>
        <w:t>）非住宅房屋货币补偿</w:t>
      </w:r>
    </w:p>
    <w:p>
      <w:pPr>
        <w:spacing w:line="500" w:lineRule="exact"/>
        <w:ind w:firstLine="640" w:firstLineChars="200"/>
        <w:rPr>
          <w:rFonts w:ascii="仿宋_GB2312" w:hAnsi="仿宋" w:eastAsia="仿宋_GB2312"/>
          <w:sz w:val="32"/>
          <w:szCs w:val="32"/>
        </w:rPr>
      </w:pPr>
      <w:r>
        <w:rPr>
          <w:rFonts w:hint="eastAsia" w:ascii="仿宋_GB2312" w:hAnsi="仿宋" w:eastAsia="仿宋_GB2312"/>
          <w:sz w:val="32"/>
          <w:szCs w:val="32"/>
        </w:rPr>
        <w:t>货币补偿金额根据征收决定公告之日该区块的房地产市场价格评估确定，并给予以下奖励。</w:t>
      </w:r>
    </w:p>
    <w:p>
      <w:pPr>
        <w:spacing w:line="500"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rPr>
        <w:t>1.</w:t>
      </w:r>
      <w:r>
        <w:rPr>
          <w:rFonts w:hint="eastAsia" w:ascii="仿宋_GB2312" w:hAnsi="仿宋" w:eastAsia="仿宋_GB2312"/>
          <w:sz w:val="32"/>
          <w:szCs w:val="32"/>
          <w:lang w:eastAsia="zh-CN"/>
        </w:rPr>
        <w:t>被征收单位</w:t>
      </w:r>
      <w:r>
        <w:rPr>
          <w:rFonts w:hint="eastAsia" w:ascii="仿宋_GB2312" w:hAnsi="仿宋" w:eastAsia="仿宋_GB2312"/>
          <w:sz w:val="32"/>
          <w:szCs w:val="32"/>
        </w:rPr>
        <w:t>选择货币补偿且在签约期限内签约的，按被征收房屋评估总价（不含被征收房屋的装饰装修及附属物补偿费、临时安置补助费、搬迁补助费、停产停业损失等）的下列比例给予货币补偿奖励：补偿总价在2000万元（含）以内的，按30%奖励；补偿总价在5000万元（含）以内的，其中2000万元至5000万元部分按15%奖励；补偿总价在5000万元以上的，其中5000万元以上部分按5%奖励。</w:t>
      </w:r>
    </w:p>
    <w:p>
      <w:pPr>
        <w:spacing w:line="500" w:lineRule="exact"/>
        <w:ind w:firstLine="640" w:firstLineChars="200"/>
        <w:rPr>
          <w:rFonts w:hint="eastAsia" w:ascii="仿宋_GB2312" w:hAnsi="仿宋" w:eastAsia="仿宋_GB2312"/>
          <w:sz w:val="32"/>
          <w:szCs w:val="32"/>
          <w:lang w:eastAsia="zh-CN"/>
        </w:rPr>
      </w:pPr>
      <w:r>
        <w:rPr>
          <w:rFonts w:hint="eastAsia" w:ascii="仿宋_GB2312" w:hAnsi="仿宋" w:eastAsia="仿宋_GB2312"/>
          <w:sz w:val="32"/>
          <w:szCs w:val="32"/>
        </w:rPr>
        <w:t>2.签订协议进度奖。对在房屋征收部门规定的时间内签订房屋征收货币补偿协议的，最高给予</w:t>
      </w:r>
      <w:r>
        <w:rPr>
          <w:rFonts w:hint="eastAsia" w:ascii="仿宋_GB2312" w:hAnsi="仿宋" w:eastAsia="仿宋_GB2312"/>
          <w:sz w:val="32"/>
          <w:szCs w:val="32"/>
          <w:lang w:eastAsia="zh-CN"/>
        </w:rPr>
        <w:t>每个被征收单位</w:t>
      </w:r>
      <w:r>
        <w:rPr>
          <w:rFonts w:hint="eastAsia" w:ascii="仿宋_GB2312" w:hAnsi="仿宋" w:eastAsia="仿宋_GB2312"/>
          <w:sz w:val="32"/>
          <w:szCs w:val="32"/>
        </w:rPr>
        <w:t>一次性30000元的奖励，奖励金按四个时段递减的方式给予</w:t>
      </w:r>
      <w:r>
        <w:rPr>
          <w:rFonts w:hint="eastAsia" w:ascii="仿宋_GB2312" w:hAnsi="仿宋" w:eastAsia="仿宋_GB2312"/>
          <w:sz w:val="32"/>
          <w:szCs w:val="32"/>
          <w:lang w:eastAsia="zh-CN"/>
        </w:rPr>
        <w:t>。</w:t>
      </w:r>
      <w:r>
        <w:rPr>
          <w:rFonts w:hint="eastAsia" w:ascii="仿宋_GB2312" w:hAnsi="仿宋" w:eastAsia="仿宋_GB2312"/>
          <w:sz w:val="32"/>
          <w:szCs w:val="32"/>
        </w:rPr>
        <w:t>具体标准</w:t>
      </w:r>
      <w:r>
        <w:rPr>
          <w:rFonts w:hint="eastAsia" w:ascii="仿宋_GB2312" w:hAnsi="仿宋" w:eastAsia="仿宋_GB2312"/>
          <w:sz w:val="32"/>
          <w:szCs w:val="32"/>
          <w:lang w:eastAsia="zh-CN"/>
        </w:rPr>
        <w:t>见下表（</w:t>
      </w:r>
      <w:r>
        <w:rPr>
          <w:rFonts w:hint="eastAsia" w:ascii="仿宋_GB2312" w:hAnsi="仿宋" w:eastAsia="仿宋_GB2312"/>
          <w:sz w:val="32"/>
          <w:szCs w:val="32"/>
        </w:rPr>
        <w:t>表一</w:t>
      </w:r>
      <w:r>
        <w:rPr>
          <w:rFonts w:hint="eastAsia" w:ascii="仿宋_GB2312" w:hAnsi="仿宋" w:eastAsia="仿宋_GB2312"/>
          <w:sz w:val="32"/>
          <w:szCs w:val="32"/>
          <w:lang w:eastAsia="zh-CN"/>
        </w:rPr>
        <w:t>）：</w:t>
      </w:r>
    </w:p>
    <w:tbl>
      <w:tblPr>
        <w:tblStyle w:val="4"/>
        <w:tblW w:w="7814" w:type="dxa"/>
        <w:jc w:val="center"/>
        <w:tblLayout w:type="fixed"/>
        <w:tblCellMar>
          <w:top w:w="0" w:type="dxa"/>
          <w:left w:w="0" w:type="dxa"/>
          <w:bottom w:w="0" w:type="dxa"/>
          <w:right w:w="0" w:type="dxa"/>
        </w:tblCellMar>
      </w:tblPr>
      <w:tblGrid>
        <w:gridCol w:w="3706"/>
        <w:gridCol w:w="4108"/>
      </w:tblGrid>
      <w:tr>
        <w:tblPrEx>
          <w:tblCellMar>
            <w:top w:w="0" w:type="dxa"/>
            <w:left w:w="0" w:type="dxa"/>
            <w:bottom w:w="0" w:type="dxa"/>
            <w:right w:w="0" w:type="dxa"/>
          </w:tblCellMar>
        </w:tblPrEx>
        <w:trPr>
          <w:trHeight w:val="397" w:hRule="atLeast"/>
          <w:jc w:val="center"/>
        </w:trPr>
        <w:tc>
          <w:tcPr>
            <w:tcW w:w="3706" w:type="dxa"/>
            <w:tcBorders>
              <w:top w:val="single" w:color="auto" w:sz="8" w:space="0"/>
              <w:left w:val="single" w:color="auto" w:sz="8" w:space="0"/>
              <w:bottom w:val="nil"/>
              <w:right w:val="single" w:color="auto" w:sz="8" w:space="0"/>
            </w:tcBorders>
            <w:tcMar>
              <w:top w:w="0" w:type="dxa"/>
              <w:left w:w="108" w:type="dxa"/>
              <w:bottom w:w="0" w:type="dxa"/>
              <w:right w:w="108" w:type="dxa"/>
            </w:tcMar>
            <w:vAlign w:val="center"/>
          </w:tcPr>
          <w:p>
            <w:pPr>
              <w:spacing w:line="500" w:lineRule="exact"/>
              <w:ind w:firstLine="640" w:firstLineChars="200"/>
              <w:rPr>
                <w:rFonts w:ascii="仿宋_GB2312" w:hAnsi="仿宋" w:eastAsia="仿宋_GB2312"/>
                <w:sz w:val="32"/>
                <w:szCs w:val="32"/>
              </w:rPr>
            </w:pPr>
            <w:r>
              <w:rPr>
                <w:rFonts w:hint="eastAsia" w:ascii="仿宋_GB2312" w:hAnsi="仿宋" w:eastAsia="仿宋_GB2312"/>
                <w:sz w:val="32"/>
                <w:szCs w:val="32"/>
              </w:rPr>
              <w:t>签订协议时间</w:t>
            </w:r>
          </w:p>
        </w:tc>
        <w:tc>
          <w:tcPr>
            <w:tcW w:w="4108" w:type="dxa"/>
            <w:tcBorders>
              <w:top w:val="single" w:color="auto" w:sz="8" w:space="0"/>
              <w:left w:val="single" w:color="auto" w:sz="8" w:space="0"/>
              <w:bottom w:val="nil"/>
              <w:right w:val="single" w:color="auto" w:sz="8" w:space="0"/>
            </w:tcBorders>
            <w:tcMar>
              <w:top w:w="0" w:type="dxa"/>
              <w:left w:w="108" w:type="dxa"/>
              <w:bottom w:w="0" w:type="dxa"/>
              <w:right w:w="108" w:type="dxa"/>
            </w:tcMar>
            <w:vAlign w:val="center"/>
          </w:tcPr>
          <w:p>
            <w:pPr>
              <w:spacing w:line="500" w:lineRule="exact"/>
              <w:jc w:val="center"/>
              <w:rPr>
                <w:rFonts w:ascii="仿宋_GB2312" w:hAnsi="仿宋" w:eastAsia="仿宋_GB2312"/>
                <w:sz w:val="32"/>
                <w:szCs w:val="32"/>
              </w:rPr>
            </w:pPr>
            <w:r>
              <w:rPr>
                <w:rFonts w:hint="eastAsia" w:ascii="仿宋_GB2312" w:hAnsi="仿宋" w:eastAsia="仿宋_GB2312"/>
                <w:sz w:val="32"/>
                <w:szCs w:val="32"/>
              </w:rPr>
              <w:t>奖励标准（人民币：元）</w:t>
            </w:r>
          </w:p>
        </w:tc>
      </w:tr>
      <w:tr>
        <w:tblPrEx>
          <w:tblCellMar>
            <w:top w:w="0" w:type="dxa"/>
            <w:left w:w="0" w:type="dxa"/>
            <w:bottom w:w="0" w:type="dxa"/>
            <w:right w:w="0" w:type="dxa"/>
          </w:tblCellMar>
        </w:tblPrEx>
        <w:trPr>
          <w:trHeight w:val="397" w:hRule="atLeast"/>
          <w:jc w:val="center"/>
        </w:trPr>
        <w:tc>
          <w:tcPr>
            <w:tcW w:w="3706" w:type="dxa"/>
            <w:tcBorders>
              <w:top w:val="single" w:color="auto" w:sz="4" w:space="0"/>
              <w:left w:val="single" w:color="auto" w:sz="4" w:space="0"/>
              <w:bottom w:val="single" w:color="auto" w:sz="4" w:space="0"/>
              <w:right w:val="single" w:color="auto" w:sz="8" w:space="0"/>
            </w:tcBorders>
            <w:tcMar>
              <w:top w:w="0" w:type="dxa"/>
              <w:left w:w="108" w:type="dxa"/>
              <w:bottom w:w="0" w:type="dxa"/>
              <w:right w:w="108" w:type="dxa"/>
            </w:tcMar>
            <w:vAlign w:val="center"/>
          </w:tcPr>
          <w:p>
            <w:pPr>
              <w:spacing w:line="500" w:lineRule="exact"/>
              <w:jc w:val="center"/>
              <w:rPr>
                <w:rFonts w:ascii="仿宋_GB2312" w:hAnsi="仿宋" w:eastAsia="仿宋_GB2312"/>
                <w:sz w:val="32"/>
                <w:szCs w:val="32"/>
              </w:rPr>
            </w:pPr>
            <w:r>
              <w:rPr>
                <w:rFonts w:hint="eastAsia" w:ascii="仿宋_GB2312" w:hAnsi="仿宋" w:eastAsia="仿宋_GB2312"/>
                <w:sz w:val="32"/>
                <w:szCs w:val="32"/>
              </w:rPr>
              <w:t>第1日</w:t>
            </w:r>
            <w:r>
              <w:rPr>
                <w:rFonts w:hint="eastAsia" w:ascii="仿宋_GB2312" w:hAnsi="仿宋" w:eastAsia="仿宋_GB2312"/>
                <w:sz w:val="32"/>
                <w:szCs w:val="32"/>
                <w:lang w:val="en-US" w:eastAsia="zh-CN"/>
              </w:rPr>
              <w:t>-</w:t>
            </w:r>
            <w:r>
              <w:rPr>
                <w:rFonts w:hint="eastAsia" w:ascii="仿宋_GB2312" w:hAnsi="仿宋" w:eastAsia="仿宋_GB2312"/>
                <w:sz w:val="32"/>
                <w:szCs w:val="32"/>
              </w:rPr>
              <w:t>30日</w:t>
            </w:r>
          </w:p>
        </w:tc>
        <w:tc>
          <w:tcPr>
            <w:tcW w:w="4108"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spacing w:line="500" w:lineRule="exact"/>
              <w:ind w:firstLine="1280" w:firstLineChars="400"/>
              <w:rPr>
                <w:rFonts w:ascii="仿宋_GB2312" w:hAnsi="仿宋" w:eastAsia="仿宋_GB2312"/>
                <w:sz w:val="32"/>
                <w:szCs w:val="32"/>
              </w:rPr>
            </w:pPr>
            <w:r>
              <w:rPr>
                <w:rFonts w:hint="eastAsia" w:ascii="仿宋_GB2312" w:hAnsi="仿宋" w:eastAsia="仿宋_GB2312"/>
                <w:sz w:val="32"/>
                <w:szCs w:val="32"/>
              </w:rPr>
              <w:t>30000</w:t>
            </w:r>
          </w:p>
        </w:tc>
      </w:tr>
      <w:tr>
        <w:tblPrEx>
          <w:tblCellMar>
            <w:top w:w="0" w:type="dxa"/>
            <w:left w:w="0" w:type="dxa"/>
            <w:bottom w:w="0" w:type="dxa"/>
            <w:right w:w="0" w:type="dxa"/>
          </w:tblCellMar>
        </w:tblPrEx>
        <w:trPr>
          <w:trHeight w:val="397" w:hRule="atLeast"/>
          <w:jc w:val="center"/>
        </w:trPr>
        <w:tc>
          <w:tcPr>
            <w:tcW w:w="3706" w:type="dxa"/>
            <w:tcBorders>
              <w:top w:val="single" w:color="auto" w:sz="4" w:space="0"/>
              <w:left w:val="single" w:color="auto" w:sz="4" w:space="0"/>
              <w:bottom w:val="single" w:color="auto" w:sz="4" w:space="0"/>
              <w:right w:val="single" w:color="auto" w:sz="8" w:space="0"/>
            </w:tcBorders>
            <w:vAlign w:val="center"/>
          </w:tcPr>
          <w:p>
            <w:pPr>
              <w:spacing w:line="500" w:lineRule="exact"/>
              <w:jc w:val="center"/>
              <w:rPr>
                <w:rFonts w:ascii="仿宋_GB2312" w:hAnsi="仿宋" w:eastAsia="仿宋_GB2312"/>
                <w:sz w:val="32"/>
                <w:szCs w:val="32"/>
              </w:rPr>
            </w:pPr>
            <w:r>
              <w:rPr>
                <w:rFonts w:hint="eastAsia" w:ascii="仿宋_GB2312" w:hAnsi="仿宋" w:eastAsia="仿宋_GB2312"/>
                <w:sz w:val="32"/>
                <w:szCs w:val="32"/>
              </w:rPr>
              <w:t>第31日</w:t>
            </w:r>
            <w:r>
              <w:rPr>
                <w:rFonts w:hint="eastAsia" w:ascii="仿宋_GB2312" w:hAnsi="仿宋" w:eastAsia="仿宋_GB2312"/>
                <w:sz w:val="32"/>
                <w:szCs w:val="32"/>
                <w:lang w:val="en-US" w:eastAsia="zh-CN"/>
              </w:rPr>
              <w:t>-</w:t>
            </w:r>
            <w:r>
              <w:rPr>
                <w:rFonts w:hint="eastAsia" w:ascii="仿宋_GB2312" w:hAnsi="仿宋" w:eastAsia="仿宋_GB2312"/>
                <w:sz w:val="32"/>
                <w:szCs w:val="32"/>
              </w:rPr>
              <w:t>50日</w:t>
            </w:r>
          </w:p>
        </w:tc>
        <w:tc>
          <w:tcPr>
            <w:tcW w:w="4108"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spacing w:line="500" w:lineRule="exact"/>
              <w:ind w:firstLine="1280" w:firstLineChars="400"/>
              <w:rPr>
                <w:rFonts w:ascii="仿宋_GB2312" w:hAnsi="仿宋" w:eastAsia="仿宋_GB2312"/>
                <w:sz w:val="32"/>
                <w:szCs w:val="32"/>
              </w:rPr>
            </w:pPr>
            <w:r>
              <w:rPr>
                <w:rFonts w:hint="eastAsia" w:ascii="仿宋_GB2312" w:hAnsi="仿宋" w:eastAsia="仿宋_GB2312"/>
                <w:sz w:val="32"/>
                <w:szCs w:val="32"/>
              </w:rPr>
              <w:t>20000</w:t>
            </w:r>
          </w:p>
        </w:tc>
      </w:tr>
      <w:tr>
        <w:tblPrEx>
          <w:tblCellMar>
            <w:top w:w="0" w:type="dxa"/>
            <w:left w:w="0" w:type="dxa"/>
            <w:bottom w:w="0" w:type="dxa"/>
            <w:right w:w="0" w:type="dxa"/>
          </w:tblCellMar>
        </w:tblPrEx>
        <w:trPr>
          <w:trHeight w:val="397" w:hRule="atLeast"/>
          <w:jc w:val="center"/>
        </w:trPr>
        <w:tc>
          <w:tcPr>
            <w:tcW w:w="3706" w:type="dxa"/>
            <w:tcBorders>
              <w:top w:val="single" w:color="auto" w:sz="4" w:space="0"/>
              <w:left w:val="single" w:color="auto" w:sz="4" w:space="0"/>
              <w:bottom w:val="single" w:color="auto" w:sz="4" w:space="0"/>
              <w:right w:val="single" w:color="auto" w:sz="8" w:space="0"/>
            </w:tcBorders>
            <w:vAlign w:val="center"/>
          </w:tcPr>
          <w:p>
            <w:pPr>
              <w:spacing w:line="500" w:lineRule="exact"/>
              <w:jc w:val="center"/>
              <w:rPr>
                <w:rFonts w:ascii="仿宋_GB2312" w:hAnsi="仿宋" w:eastAsia="仿宋_GB2312"/>
                <w:sz w:val="32"/>
                <w:szCs w:val="32"/>
              </w:rPr>
            </w:pPr>
            <w:r>
              <w:rPr>
                <w:rFonts w:hint="eastAsia" w:ascii="仿宋_GB2312" w:hAnsi="仿宋" w:eastAsia="仿宋_GB2312"/>
                <w:sz w:val="32"/>
                <w:szCs w:val="32"/>
              </w:rPr>
              <w:t>第51日</w:t>
            </w:r>
            <w:r>
              <w:rPr>
                <w:rFonts w:hint="eastAsia" w:ascii="仿宋_GB2312" w:hAnsi="仿宋" w:eastAsia="仿宋_GB2312"/>
                <w:sz w:val="32"/>
                <w:szCs w:val="32"/>
                <w:lang w:val="en-US" w:eastAsia="zh-CN"/>
              </w:rPr>
              <w:t>-</w:t>
            </w:r>
            <w:r>
              <w:rPr>
                <w:rFonts w:hint="eastAsia" w:ascii="仿宋_GB2312" w:hAnsi="仿宋" w:eastAsia="仿宋_GB2312"/>
                <w:sz w:val="32"/>
                <w:szCs w:val="32"/>
              </w:rPr>
              <w:t>60日</w:t>
            </w:r>
          </w:p>
        </w:tc>
        <w:tc>
          <w:tcPr>
            <w:tcW w:w="4108"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spacing w:line="500" w:lineRule="exact"/>
              <w:ind w:firstLine="1280" w:firstLineChars="400"/>
              <w:rPr>
                <w:rFonts w:ascii="仿宋_GB2312" w:hAnsi="仿宋" w:eastAsia="仿宋_GB2312"/>
                <w:sz w:val="32"/>
                <w:szCs w:val="32"/>
              </w:rPr>
            </w:pPr>
            <w:r>
              <w:rPr>
                <w:rFonts w:hint="eastAsia" w:ascii="仿宋_GB2312" w:hAnsi="仿宋" w:eastAsia="仿宋_GB2312"/>
                <w:sz w:val="32"/>
                <w:szCs w:val="32"/>
              </w:rPr>
              <w:t>10000</w:t>
            </w:r>
          </w:p>
        </w:tc>
      </w:tr>
      <w:tr>
        <w:tblPrEx>
          <w:tblCellMar>
            <w:top w:w="0" w:type="dxa"/>
            <w:left w:w="0" w:type="dxa"/>
            <w:bottom w:w="0" w:type="dxa"/>
            <w:right w:w="0" w:type="dxa"/>
          </w:tblCellMar>
        </w:tblPrEx>
        <w:trPr>
          <w:trHeight w:val="397" w:hRule="atLeast"/>
          <w:jc w:val="center"/>
        </w:trPr>
        <w:tc>
          <w:tcPr>
            <w:tcW w:w="3706" w:type="dxa"/>
            <w:tcBorders>
              <w:top w:val="single" w:color="auto" w:sz="4" w:space="0"/>
              <w:left w:val="single" w:color="auto" w:sz="4" w:space="0"/>
              <w:bottom w:val="single" w:color="auto" w:sz="8" w:space="0"/>
              <w:right w:val="single" w:color="auto" w:sz="8" w:space="0"/>
            </w:tcBorders>
            <w:vAlign w:val="center"/>
          </w:tcPr>
          <w:p>
            <w:pPr>
              <w:spacing w:line="500" w:lineRule="exact"/>
              <w:jc w:val="center"/>
              <w:rPr>
                <w:rFonts w:ascii="仿宋_GB2312" w:hAnsi="仿宋" w:eastAsia="仿宋_GB2312"/>
                <w:sz w:val="32"/>
                <w:szCs w:val="32"/>
              </w:rPr>
            </w:pPr>
            <w:r>
              <w:rPr>
                <w:rFonts w:hint="eastAsia" w:ascii="仿宋_GB2312" w:hAnsi="仿宋" w:eastAsia="仿宋_GB2312"/>
                <w:sz w:val="32"/>
                <w:szCs w:val="32"/>
              </w:rPr>
              <w:t>第61日以后</w:t>
            </w:r>
          </w:p>
        </w:tc>
        <w:tc>
          <w:tcPr>
            <w:tcW w:w="4108"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spacing w:line="500" w:lineRule="exact"/>
              <w:ind w:firstLine="1600" w:firstLineChars="500"/>
              <w:rPr>
                <w:rFonts w:ascii="仿宋_GB2312" w:hAnsi="仿宋" w:eastAsia="仿宋_GB2312"/>
                <w:sz w:val="32"/>
                <w:szCs w:val="32"/>
              </w:rPr>
            </w:pPr>
            <w:r>
              <w:rPr>
                <w:rFonts w:hint="eastAsia" w:ascii="仿宋_GB2312" w:hAnsi="仿宋" w:eastAsia="仿宋_GB2312"/>
                <w:sz w:val="32"/>
                <w:szCs w:val="32"/>
              </w:rPr>
              <w:t>0</w:t>
            </w:r>
          </w:p>
        </w:tc>
      </w:tr>
    </w:tbl>
    <w:p>
      <w:pPr>
        <w:spacing w:line="500" w:lineRule="exact"/>
        <w:ind w:firstLine="640" w:firstLineChars="200"/>
        <w:rPr>
          <w:rFonts w:hint="eastAsia" w:ascii="仿宋_GB2312" w:hAnsi="仿宋" w:eastAsia="仿宋_GB2312"/>
          <w:sz w:val="32"/>
          <w:szCs w:val="32"/>
          <w:lang w:eastAsia="zh-CN"/>
        </w:rPr>
      </w:pPr>
      <w:r>
        <w:rPr>
          <w:rFonts w:hint="eastAsia" w:ascii="仿宋_GB2312" w:hAnsi="仿宋" w:eastAsia="仿宋_GB2312"/>
          <w:sz w:val="32"/>
          <w:szCs w:val="32"/>
        </w:rPr>
        <w:t>3.按期搬迁腾空奖。</w:t>
      </w:r>
      <w:r>
        <w:rPr>
          <w:rFonts w:hint="eastAsia" w:ascii="仿宋_GB2312" w:hAnsi="仿宋" w:eastAsia="仿宋_GB2312"/>
          <w:sz w:val="32"/>
          <w:szCs w:val="32"/>
          <w:lang w:eastAsia="zh-CN"/>
        </w:rPr>
        <w:t>被征收单位</w:t>
      </w:r>
      <w:r>
        <w:rPr>
          <w:rFonts w:hint="eastAsia" w:ascii="仿宋_GB2312" w:hAnsi="仿宋" w:eastAsia="仿宋_GB2312"/>
          <w:sz w:val="32"/>
          <w:szCs w:val="32"/>
        </w:rPr>
        <w:t>在签订协议后，按协议约定内容按期腾空被征收房屋并移交征收人的，最高给予</w:t>
      </w:r>
      <w:r>
        <w:rPr>
          <w:rFonts w:hint="eastAsia" w:ascii="仿宋_GB2312" w:hAnsi="仿宋" w:eastAsia="仿宋_GB2312"/>
          <w:sz w:val="32"/>
          <w:szCs w:val="32"/>
          <w:lang w:eastAsia="zh-CN"/>
        </w:rPr>
        <w:t>每个被征收单位</w:t>
      </w:r>
      <w:r>
        <w:rPr>
          <w:rFonts w:hint="eastAsia" w:ascii="仿宋_GB2312" w:hAnsi="仿宋" w:eastAsia="仿宋_GB2312"/>
          <w:sz w:val="32"/>
          <w:szCs w:val="32"/>
        </w:rPr>
        <w:t>一次性20000元的奖励，奖励金按三个时段递减的方式给予。</w:t>
      </w:r>
      <w:r>
        <w:rPr>
          <w:rFonts w:hint="eastAsia" w:ascii="仿宋_GB2312" w:hAnsi="仿宋" w:eastAsia="仿宋_GB2312"/>
          <w:sz w:val="32"/>
          <w:szCs w:val="32"/>
          <w:lang w:eastAsia="zh-CN"/>
        </w:rPr>
        <w:t>具体标准见下表（表二）：</w:t>
      </w:r>
    </w:p>
    <w:tbl>
      <w:tblPr>
        <w:tblStyle w:val="4"/>
        <w:tblW w:w="7814" w:type="dxa"/>
        <w:jc w:val="center"/>
        <w:tblLayout w:type="fixed"/>
        <w:tblCellMar>
          <w:top w:w="0" w:type="dxa"/>
          <w:left w:w="0" w:type="dxa"/>
          <w:bottom w:w="0" w:type="dxa"/>
          <w:right w:w="0" w:type="dxa"/>
        </w:tblCellMar>
      </w:tblPr>
      <w:tblGrid>
        <w:gridCol w:w="3706"/>
        <w:gridCol w:w="4108"/>
      </w:tblGrid>
      <w:tr>
        <w:tblPrEx>
          <w:tblCellMar>
            <w:top w:w="0" w:type="dxa"/>
            <w:left w:w="0" w:type="dxa"/>
            <w:bottom w:w="0" w:type="dxa"/>
            <w:right w:w="0" w:type="dxa"/>
          </w:tblCellMar>
        </w:tblPrEx>
        <w:trPr>
          <w:trHeight w:val="397" w:hRule="atLeast"/>
          <w:jc w:val="center"/>
        </w:trPr>
        <w:tc>
          <w:tcPr>
            <w:tcW w:w="3706" w:type="dxa"/>
            <w:tcBorders>
              <w:top w:val="single" w:color="auto" w:sz="8" w:space="0"/>
              <w:left w:val="single" w:color="auto" w:sz="8" w:space="0"/>
              <w:bottom w:val="nil"/>
              <w:right w:val="single" w:color="auto" w:sz="8" w:space="0"/>
            </w:tcBorders>
            <w:tcMar>
              <w:top w:w="0" w:type="dxa"/>
              <w:left w:w="108" w:type="dxa"/>
              <w:bottom w:w="0" w:type="dxa"/>
              <w:right w:w="108" w:type="dxa"/>
            </w:tcMar>
            <w:vAlign w:val="center"/>
          </w:tcPr>
          <w:p>
            <w:pPr>
              <w:spacing w:line="500" w:lineRule="exact"/>
              <w:ind w:firstLine="640" w:firstLineChars="200"/>
              <w:rPr>
                <w:rFonts w:ascii="仿宋_GB2312" w:hAnsi="仿宋" w:eastAsia="仿宋_GB2312"/>
                <w:sz w:val="32"/>
                <w:szCs w:val="32"/>
              </w:rPr>
            </w:pPr>
            <w:r>
              <w:rPr>
                <w:rFonts w:hint="eastAsia" w:ascii="仿宋_GB2312" w:hAnsi="仿宋" w:eastAsia="仿宋_GB2312"/>
                <w:sz w:val="32"/>
                <w:szCs w:val="32"/>
              </w:rPr>
              <w:t>搬迁腾空时间</w:t>
            </w:r>
          </w:p>
        </w:tc>
        <w:tc>
          <w:tcPr>
            <w:tcW w:w="4108" w:type="dxa"/>
            <w:tcBorders>
              <w:top w:val="single" w:color="auto" w:sz="8" w:space="0"/>
              <w:left w:val="single" w:color="auto" w:sz="8" w:space="0"/>
              <w:bottom w:val="nil"/>
              <w:right w:val="single" w:color="auto" w:sz="8" w:space="0"/>
            </w:tcBorders>
            <w:tcMar>
              <w:top w:w="0" w:type="dxa"/>
              <w:left w:w="108" w:type="dxa"/>
              <w:bottom w:w="0" w:type="dxa"/>
              <w:right w:w="108" w:type="dxa"/>
            </w:tcMar>
            <w:vAlign w:val="center"/>
          </w:tcPr>
          <w:p>
            <w:pPr>
              <w:spacing w:line="500" w:lineRule="exact"/>
              <w:jc w:val="center"/>
              <w:rPr>
                <w:rFonts w:ascii="仿宋_GB2312" w:hAnsi="仿宋" w:eastAsia="仿宋_GB2312"/>
                <w:sz w:val="32"/>
                <w:szCs w:val="32"/>
              </w:rPr>
            </w:pPr>
            <w:r>
              <w:rPr>
                <w:rFonts w:hint="eastAsia" w:ascii="仿宋_GB2312" w:hAnsi="仿宋" w:eastAsia="仿宋_GB2312"/>
                <w:sz w:val="32"/>
                <w:szCs w:val="32"/>
              </w:rPr>
              <w:t>奖励标准（人民币：元）</w:t>
            </w:r>
          </w:p>
        </w:tc>
      </w:tr>
      <w:tr>
        <w:tblPrEx>
          <w:tblCellMar>
            <w:top w:w="0" w:type="dxa"/>
            <w:left w:w="0" w:type="dxa"/>
            <w:bottom w:w="0" w:type="dxa"/>
            <w:right w:w="0" w:type="dxa"/>
          </w:tblCellMar>
        </w:tblPrEx>
        <w:trPr>
          <w:trHeight w:val="397" w:hRule="atLeast"/>
          <w:jc w:val="center"/>
        </w:trPr>
        <w:tc>
          <w:tcPr>
            <w:tcW w:w="3706" w:type="dxa"/>
            <w:tcBorders>
              <w:top w:val="single" w:color="auto" w:sz="8" w:space="0"/>
              <w:left w:val="single" w:color="auto" w:sz="4" w:space="0"/>
              <w:bottom w:val="single" w:color="auto" w:sz="4" w:space="0"/>
              <w:right w:val="single" w:color="auto" w:sz="4" w:space="0"/>
            </w:tcBorders>
            <w:tcMar>
              <w:top w:w="0" w:type="dxa"/>
              <w:left w:w="108" w:type="dxa"/>
              <w:bottom w:w="0" w:type="dxa"/>
              <w:right w:w="108" w:type="dxa"/>
            </w:tcMar>
            <w:vAlign w:val="center"/>
          </w:tcPr>
          <w:p>
            <w:pPr>
              <w:spacing w:line="500" w:lineRule="exact"/>
              <w:jc w:val="center"/>
              <w:rPr>
                <w:rFonts w:ascii="仿宋_GB2312" w:hAnsi="仿宋" w:eastAsia="仿宋_GB2312"/>
                <w:sz w:val="32"/>
                <w:szCs w:val="32"/>
              </w:rPr>
            </w:pPr>
            <w:r>
              <w:rPr>
                <w:rFonts w:hint="eastAsia" w:ascii="仿宋_GB2312" w:hAnsi="仿宋" w:eastAsia="仿宋_GB2312"/>
                <w:sz w:val="32"/>
                <w:szCs w:val="32"/>
              </w:rPr>
              <w:t>第1日</w:t>
            </w:r>
            <w:r>
              <w:rPr>
                <w:rFonts w:hint="eastAsia" w:ascii="仿宋_GB2312" w:hAnsi="仿宋" w:eastAsia="仿宋_GB2312"/>
                <w:sz w:val="32"/>
                <w:szCs w:val="32"/>
                <w:lang w:val="en-US" w:eastAsia="zh-CN"/>
              </w:rPr>
              <w:t>-</w:t>
            </w:r>
            <w:r>
              <w:rPr>
                <w:rFonts w:hint="eastAsia" w:ascii="仿宋_GB2312" w:hAnsi="仿宋" w:eastAsia="仿宋_GB2312"/>
                <w:sz w:val="32"/>
                <w:szCs w:val="32"/>
              </w:rPr>
              <w:t>15日</w:t>
            </w:r>
          </w:p>
        </w:tc>
        <w:tc>
          <w:tcPr>
            <w:tcW w:w="4108" w:type="dxa"/>
            <w:tcBorders>
              <w:top w:val="single" w:color="auto" w:sz="8" w:space="0"/>
              <w:left w:val="single" w:color="auto" w:sz="4" w:space="0"/>
              <w:bottom w:val="single" w:color="auto" w:sz="8" w:space="0"/>
              <w:right w:val="single" w:color="auto" w:sz="8" w:space="0"/>
            </w:tcBorders>
            <w:tcMar>
              <w:top w:w="0" w:type="dxa"/>
              <w:left w:w="108" w:type="dxa"/>
              <w:bottom w:w="0" w:type="dxa"/>
              <w:right w:w="108" w:type="dxa"/>
            </w:tcMar>
            <w:vAlign w:val="center"/>
          </w:tcPr>
          <w:p>
            <w:pPr>
              <w:spacing w:line="500" w:lineRule="exact"/>
              <w:ind w:firstLine="1440" w:firstLineChars="450"/>
              <w:rPr>
                <w:rFonts w:ascii="仿宋_GB2312" w:hAnsi="仿宋" w:eastAsia="仿宋_GB2312"/>
                <w:sz w:val="32"/>
                <w:szCs w:val="32"/>
              </w:rPr>
            </w:pPr>
            <w:r>
              <w:rPr>
                <w:rFonts w:hint="eastAsia" w:ascii="仿宋_GB2312" w:hAnsi="仿宋" w:eastAsia="仿宋_GB2312"/>
                <w:sz w:val="32"/>
                <w:szCs w:val="32"/>
              </w:rPr>
              <w:t>20000</w:t>
            </w:r>
          </w:p>
        </w:tc>
      </w:tr>
      <w:tr>
        <w:tblPrEx>
          <w:tblCellMar>
            <w:top w:w="0" w:type="dxa"/>
            <w:left w:w="0" w:type="dxa"/>
            <w:bottom w:w="0" w:type="dxa"/>
            <w:right w:w="0" w:type="dxa"/>
          </w:tblCellMar>
        </w:tblPrEx>
        <w:trPr>
          <w:trHeight w:val="397" w:hRule="atLeast"/>
          <w:jc w:val="center"/>
        </w:trPr>
        <w:tc>
          <w:tcPr>
            <w:tcW w:w="3706"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ascii="仿宋_GB2312" w:hAnsi="仿宋" w:eastAsia="仿宋_GB2312"/>
                <w:sz w:val="32"/>
                <w:szCs w:val="32"/>
              </w:rPr>
            </w:pPr>
            <w:r>
              <w:rPr>
                <w:rFonts w:hint="eastAsia" w:ascii="仿宋_GB2312" w:hAnsi="仿宋" w:eastAsia="仿宋_GB2312"/>
                <w:sz w:val="32"/>
                <w:szCs w:val="32"/>
              </w:rPr>
              <w:t>第16日</w:t>
            </w:r>
            <w:r>
              <w:rPr>
                <w:rFonts w:hint="eastAsia" w:ascii="仿宋_GB2312" w:hAnsi="仿宋" w:eastAsia="仿宋_GB2312"/>
                <w:sz w:val="32"/>
                <w:szCs w:val="32"/>
                <w:lang w:val="en-US" w:eastAsia="zh-CN"/>
              </w:rPr>
              <w:t>-</w:t>
            </w:r>
            <w:r>
              <w:rPr>
                <w:rFonts w:hint="eastAsia" w:ascii="仿宋_GB2312" w:hAnsi="仿宋" w:eastAsia="仿宋_GB2312"/>
                <w:sz w:val="32"/>
                <w:szCs w:val="32"/>
              </w:rPr>
              <w:t>30日</w:t>
            </w:r>
          </w:p>
        </w:tc>
        <w:tc>
          <w:tcPr>
            <w:tcW w:w="4108" w:type="dxa"/>
            <w:tcBorders>
              <w:top w:val="single" w:color="auto" w:sz="8" w:space="0"/>
              <w:left w:val="single" w:color="auto" w:sz="4" w:space="0"/>
              <w:bottom w:val="single" w:color="auto" w:sz="8" w:space="0"/>
              <w:right w:val="single" w:color="auto" w:sz="8" w:space="0"/>
            </w:tcBorders>
            <w:tcMar>
              <w:top w:w="0" w:type="dxa"/>
              <w:left w:w="108" w:type="dxa"/>
              <w:bottom w:w="0" w:type="dxa"/>
              <w:right w:w="108" w:type="dxa"/>
            </w:tcMar>
            <w:vAlign w:val="center"/>
          </w:tcPr>
          <w:p>
            <w:pPr>
              <w:spacing w:line="500" w:lineRule="exact"/>
              <w:ind w:firstLine="1440" w:firstLineChars="450"/>
              <w:rPr>
                <w:rFonts w:ascii="仿宋_GB2312" w:hAnsi="仿宋" w:eastAsia="仿宋_GB2312"/>
                <w:sz w:val="32"/>
                <w:szCs w:val="32"/>
              </w:rPr>
            </w:pPr>
            <w:r>
              <w:rPr>
                <w:rFonts w:hint="eastAsia" w:ascii="仿宋_GB2312" w:hAnsi="仿宋" w:eastAsia="仿宋_GB2312"/>
                <w:sz w:val="32"/>
                <w:szCs w:val="32"/>
              </w:rPr>
              <w:t>10000</w:t>
            </w:r>
          </w:p>
        </w:tc>
      </w:tr>
      <w:tr>
        <w:tblPrEx>
          <w:tblCellMar>
            <w:top w:w="0" w:type="dxa"/>
            <w:left w:w="0" w:type="dxa"/>
            <w:bottom w:w="0" w:type="dxa"/>
            <w:right w:w="0" w:type="dxa"/>
          </w:tblCellMar>
        </w:tblPrEx>
        <w:trPr>
          <w:trHeight w:val="397" w:hRule="atLeast"/>
          <w:jc w:val="center"/>
        </w:trPr>
        <w:tc>
          <w:tcPr>
            <w:tcW w:w="3706" w:type="dxa"/>
            <w:tcBorders>
              <w:top w:val="single" w:color="auto" w:sz="4" w:space="0"/>
              <w:left w:val="single" w:color="auto" w:sz="4" w:space="0"/>
              <w:bottom w:val="single" w:color="auto" w:sz="8" w:space="0"/>
              <w:right w:val="single" w:color="auto" w:sz="8" w:space="0"/>
            </w:tcBorders>
            <w:vAlign w:val="center"/>
          </w:tcPr>
          <w:p>
            <w:pPr>
              <w:spacing w:line="500" w:lineRule="exact"/>
              <w:jc w:val="center"/>
              <w:rPr>
                <w:rFonts w:ascii="仿宋_GB2312" w:hAnsi="仿宋" w:eastAsia="仿宋_GB2312"/>
                <w:sz w:val="32"/>
                <w:szCs w:val="32"/>
              </w:rPr>
            </w:pPr>
            <w:r>
              <w:rPr>
                <w:rFonts w:hint="eastAsia" w:ascii="仿宋_GB2312" w:hAnsi="仿宋" w:eastAsia="仿宋_GB2312"/>
                <w:sz w:val="32"/>
                <w:szCs w:val="32"/>
              </w:rPr>
              <w:t>第31日以后</w:t>
            </w:r>
          </w:p>
        </w:tc>
        <w:tc>
          <w:tcPr>
            <w:tcW w:w="4108"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spacing w:line="500" w:lineRule="exact"/>
              <w:ind w:firstLine="1760" w:firstLineChars="550"/>
              <w:rPr>
                <w:rFonts w:ascii="仿宋_GB2312" w:hAnsi="仿宋" w:eastAsia="仿宋_GB2312"/>
                <w:sz w:val="32"/>
                <w:szCs w:val="32"/>
              </w:rPr>
            </w:pPr>
            <w:r>
              <w:rPr>
                <w:rFonts w:hint="eastAsia" w:ascii="仿宋_GB2312" w:hAnsi="仿宋" w:eastAsia="仿宋_GB2312"/>
                <w:sz w:val="32"/>
                <w:szCs w:val="32"/>
              </w:rPr>
              <w:t>0</w:t>
            </w:r>
          </w:p>
        </w:tc>
      </w:tr>
    </w:tbl>
    <w:p>
      <w:pPr>
        <w:spacing w:line="500" w:lineRule="exact"/>
        <w:ind w:firstLine="640" w:firstLineChars="200"/>
        <w:rPr>
          <w:rFonts w:ascii="仿宋_GB2312" w:hAnsi="仿宋" w:eastAsia="仿宋_GB2312"/>
          <w:sz w:val="32"/>
          <w:szCs w:val="32"/>
        </w:rPr>
      </w:pPr>
      <w:r>
        <w:rPr>
          <w:rFonts w:hint="eastAsia" w:ascii="仿宋_GB2312" w:hAnsi="仿宋" w:eastAsia="仿宋_GB2312"/>
          <w:sz w:val="32"/>
          <w:szCs w:val="32"/>
        </w:rPr>
        <w:t>4.对在房屋征收部门规定的时间内签订房屋征收货币补偿协议并按期腾空被征收房屋的</w:t>
      </w:r>
      <w:r>
        <w:rPr>
          <w:rFonts w:hint="eastAsia" w:ascii="仿宋_GB2312" w:hAnsi="仿宋" w:eastAsia="仿宋_GB2312"/>
          <w:sz w:val="32"/>
          <w:szCs w:val="32"/>
          <w:lang w:eastAsia="zh-CN"/>
        </w:rPr>
        <w:t>被征收单位</w:t>
      </w:r>
      <w:r>
        <w:rPr>
          <w:rFonts w:hint="eastAsia" w:ascii="仿宋_GB2312" w:hAnsi="仿宋" w:eastAsia="仿宋_GB2312"/>
          <w:sz w:val="32"/>
          <w:szCs w:val="32"/>
        </w:rPr>
        <w:t>,按被征收房屋的建筑面积，再给予300元/平方米的奖励。</w:t>
      </w:r>
    </w:p>
    <w:p>
      <w:pPr>
        <w:spacing w:line="500" w:lineRule="exact"/>
        <w:ind w:firstLine="640" w:firstLineChars="200"/>
        <w:rPr>
          <w:rFonts w:ascii="仿宋_GB2312" w:hAnsi="仿宋" w:eastAsia="仿宋_GB2312"/>
          <w:sz w:val="32"/>
          <w:szCs w:val="32"/>
        </w:rPr>
      </w:pPr>
      <w:r>
        <w:rPr>
          <w:rFonts w:hint="eastAsia" w:ascii="仿宋_GB2312" w:hAnsi="仿宋" w:eastAsia="仿宋_GB2312"/>
          <w:sz w:val="32"/>
          <w:szCs w:val="32"/>
        </w:rPr>
        <w:t>5.征收非住宅房屋造成停产停业损失的，根据房屋被征收前的效益、停产停业期限等因素对生产经营者进行补偿，补偿标准按工业用房、商业用房和综合用房分别为被征收房屋评估价值的10%、6%、5%。</w:t>
      </w:r>
    </w:p>
    <w:p>
      <w:pPr>
        <w:spacing w:line="500" w:lineRule="exact"/>
        <w:ind w:firstLine="640" w:firstLineChars="200"/>
        <w:rPr>
          <w:rFonts w:ascii="仿宋_GB2312" w:hAnsi="仿宋" w:eastAsia="仿宋_GB2312"/>
          <w:sz w:val="32"/>
          <w:szCs w:val="32"/>
        </w:rPr>
      </w:pPr>
      <w:r>
        <w:rPr>
          <w:rFonts w:hint="eastAsia" w:ascii="仿宋_GB2312" w:hAnsi="仿宋" w:eastAsia="仿宋_GB2312"/>
          <w:sz w:val="32"/>
          <w:szCs w:val="32"/>
        </w:rPr>
        <w:t>6.装饰装修费、搬迁费、临时安置费根据征收决定公告之日该区块的市场价格评估确定。</w:t>
      </w:r>
    </w:p>
    <w:p>
      <w:pPr>
        <w:spacing w:line="500" w:lineRule="exact"/>
        <w:ind w:firstLine="643" w:firstLineChars="200"/>
        <w:rPr>
          <w:rFonts w:hint="eastAsia" w:ascii="楷体_GB2312" w:hAnsi="仿宋" w:eastAsia="楷体_GB2312"/>
          <w:b/>
          <w:sz w:val="32"/>
          <w:szCs w:val="32"/>
        </w:rPr>
      </w:pPr>
      <w:r>
        <w:rPr>
          <w:rFonts w:hint="eastAsia" w:ascii="楷体_GB2312" w:hAnsi="仿宋" w:eastAsia="楷体_GB2312"/>
          <w:b/>
          <w:sz w:val="32"/>
          <w:szCs w:val="32"/>
        </w:rPr>
        <w:t>（</w:t>
      </w:r>
      <w:r>
        <w:rPr>
          <w:rFonts w:hint="eastAsia" w:ascii="楷体_GB2312" w:hAnsi="仿宋" w:eastAsia="楷体_GB2312"/>
          <w:b/>
          <w:sz w:val="32"/>
          <w:szCs w:val="32"/>
          <w:lang w:eastAsia="zh-CN"/>
        </w:rPr>
        <w:t>二</w:t>
      </w:r>
      <w:r>
        <w:rPr>
          <w:rFonts w:hint="eastAsia" w:ascii="楷体_GB2312" w:hAnsi="仿宋" w:eastAsia="楷体_GB2312"/>
          <w:b/>
          <w:sz w:val="32"/>
          <w:szCs w:val="32"/>
        </w:rPr>
        <w:t>）非住宅房屋产权调换</w:t>
      </w:r>
    </w:p>
    <w:p>
      <w:pPr>
        <w:spacing w:line="500"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rPr>
        <w:t>该区块非住宅房屋选择产权调换的，实行异地安置。征收人将相关</w:t>
      </w:r>
      <w:r>
        <w:rPr>
          <w:rFonts w:hint="eastAsia" w:ascii="仿宋_GB2312" w:hAnsi="仿宋" w:eastAsia="仿宋_GB2312"/>
          <w:sz w:val="32"/>
          <w:szCs w:val="32"/>
          <w:lang w:eastAsia="zh-CN"/>
        </w:rPr>
        <w:t>资投</w:t>
      </w:r>
      <w:r>
        <w:rPr>
          <w:rFonts w:hint="eastAsia" w:ascii="仿宋_GB2312" w:hAnsi="仿宋" w:eastAsia="仿宋_GB2312"/>
          <w:sz w:val="32"/>
          <w:szCs w:val="32"/>
        </w:rPr>
        <w:t>公司、部门单位的部分非住宅房屋资源进行整合,供</w:t>
      </w:r>
      <w:r>
        <w:rPr>
          <w:rFonts w:hint="eastAsia" w:ascii="仿宋_GB2312" w:hAnsi="仿宋" w:eastAsia="仿宋_GB2312"/>
          <w:sz w:val="32"/>
          <w:szCs w:val="32"/>
          <w:lang w:eastAsia="zh-CN"/>
        </w:rPr>
        <w:t>被征收单位</w:t>
      </w:r>
      <w:r>
        <w:rPr>
          <w:rFonts w:hint="eastAsia" w:ascii="仿宋_GB2312" w:hAnsi="仿宋" w:eastAsia="仿宋_GB2312"/>
          <w:sz w:val="32"/>
          <w:szCs w:val="32"/>
        </w:rPr>
        <w:t>选择。被征收房屋价值和用于产权调换房屋的价值结算，由依法定程序选定的同一家房地产价格评估机构以房屋征收决定公告之日为评估时点，采用相同的方法、标准评估确定，并享受以下奖励：</w:t>
      </w:r>
    </w:p>
    <w:p>
      <w:pPr>
        <w:spacing w:line="500" w:lineRule="exact"/>
        <w:ind w:firstLine="640" w:firstLineChars="200"/>
        <w:rPr>
          <w:rFonts w:ascii="仿宋_GB2312" w:hAnsi="仿宋" w:eastAsia="仿宋_GB2312"/>
          <w:sz w:val="32"/>
          <w:szCs w:val="32"/>
        </w:rPr>
      </w:pPr>
      <w:r>
        <w:rPr>
          <w:rFonts w:hint="eastAsia" w:ascii="仿宋_GB2312" w:hAnsi="仿宋" w:eastAsia="仿宋_GB2312"/>
          <w:sz w:val="32"/>
          <w:szCs w:val="32"/>
        </w:rPr>
        <w:t>1.签订协议进度奖。对在房屋征收部门规定的时间内签订房屋征收产权调换协议的，最高给予</w:t>
      </w:r>
      <w:r>
        <w:rPr>
          <w:rFonts w:hint="eastAsia" w:ascii="仿宋_GB2312" w:hAnsi="仿宋" w:eastAsia="仿宋_GB2312"/>
          <w:sz w:val="32"/>
          <w:szCs w:val="32"/>
          <w:lang w:eastAsia="zh-CN"/>
        </w:rPr>
        <w:t>每个被征收单位</w:t>
      </w:r>
      <w:r>
        <w:rPr>
          <w:rFonts w:hint="eastAsia" w:ascii="仿宋_GB2312" w:hAnsi="仿宋" w:eastAsia="仿宋_GB2312"/>
          <w:sz w:val="32"/>
          <w:szCs w:val="32"/>
        </w:rPr>
        <w:t>一次性30000元的奖励，奖励金按四个时段递减的方式给予（具体标准按表一执行）。</w:t>
      </w:r>
    </w:p>
    <w:p>
      <w:pPr>
        <w:spacing w:line="500" w:lineRule="exact"/>
        <w:ind w:firstLine="640" w:firstLineChars="200"/>
        <w:rPr>
          <w:rFonts w:ascii="仿宋_GB2312" w:hAnsi="仿宋" w:eastAsia="仿宋_GB2312"/>
          <w:sz w:val="32"/>
          <w:szCs w:val="32"/>
        </w:rPr>
      </w:pPr>
      <w:r>
        <w:rPr>
          <w:rFonts w:hint="eastAsia" w:ascii="仿宋_GB2312" w:hAnsi="仿宋" w:eastAsia="仿宋_GB2312"/>
          <w:sz w:val="32"/>
          <w:szCs w:val="32"/>
        </w:rPr>
        <w:t>2.按期搬迁腾空奖。</w:t>
      </w:r>
      <w:r>
        <w:rPr>
          <w:rFonts w:hint="eastAsia" w:ascii="仿宋_GB2312" w:hAnsi="仿宋" w:eastAsia="仿宋_GB2312"/>
          <w:sz w:val="32"/>
          <w:szCs w:val="32"/>
          <w:lang w:eastAsia="zh-CN"/>
        </w:rPr>
        <w:t>被征收单位</w:t>
      </w:r>
      <w:r>
        <w:rPr>
          <w:rFonts w:hint="eastAsia" w:ascii="仿宋_GB2312" w:hAnsi="仿宋" w:eastAsia="仿宋_GB2312"/>
          <w:sz w:val="32"/>
          <w:szCs w:val="32"/>
        </w:rPr>
        <w:t>在签订协议后，按协议约定内容按期腾空被征收房屋并移交征收人的，最高给予</w:t>
      </w:r>
      <w:r>
        <w:rPr>
          <w:rFonts w:hint="eastAsia" w:ascii="仿宋_GB2312" w:hAnsi="仿宋" w:eastAsia="仿宋_GB2312"/>
          <w:sz w:val="32"/>
          <w:szCs w:val="32"/>
          <w:lang w:eastAsia="zh-CN"/>
        </w:rPr>
        <w:t>每个被征收单位</w:t>
      </w:r>
      <w:r>
        <w:rPr>
          <w:rFonts w:hint="eastAsia" w:ascii="仿宋_GB2312" w:hAnsi="仿宋" w:eastAsia="仿宋_GB2312"/>
          <w:sz w:val="32"/>
          <w:szCs w:val="32"/>
        </w:rPr>
        <w:t>一次性20000元的奖励，奖励金按三个时段递减的方式给予（具体标准按表二执行）。</w:t>
      </w:r>
    </w:p>
    <w:p>
      <w:pPr>
        <w:spacing w:line="500" w:lineRule="exact"/>
        <w:ind w:firstLine="640" w:firstLineChars="200"/>
        <w:rPr>
          <w:rFonts w:ascii="仿宋_GB2312" w:hAnsi="仿宋" w:eastAsia="仿宋_GB2312"/>
          <w:sz w:val="32"/>
          <w:szCs w:val="32"/>
        </w:rPr>
      </w:pPr>
      <w:r>
        <w:rPr>
          <w:rFonts w:hint="eastAsia" w:ascii="仿宋_GB2312" w:hAnsi="仿宋" w:eastAsia="仿宋_GB2312"/>
          <w:sz w:val="32"/>
          <w:szCs w:val="32"/>
        </w:rPr>
        <w:t>3.</w:t>
      </w:r>
      <w:r>
        <w:rPr>
          <w:rFonts w:hint="eastAsia" w:ascii="仿宋_GB2312" w:hAnsi="仿宋" w:eastAsia="仿宋_GB2312"/>
          <w:sz w:val="32"/>
          <w:szCs w:val="32"/>
          <w:lang w:eastAsia="zh-CN"/>
        </w:rPr>
        <w:t>被征收单位</w:t>
      </w:r>
      <w:r>
        <w:rPr>
          <w:rFonts w:hint="eastAsia" w:ascii="仿宋_GB2312" w:hAnsi="仿宋" w:eastAsia="仿宋_GB2312"/>
          <w:sz w:val="32"/>
          <w:szCs w:val="32"/>
        </w:rPr>
        <w:t>在房屋征收部门规定的时间内实行异地安置，签订房屋征收产权调换协议并按期腾空被征收房屋的</w:t>
      </w:r>
      <w:r>
        <w:rPr>
          <w:rFonts w:hint="eastAsia" w:ascii="仿宋_GB2312" w:hAnsi="仿宋" w:eastAsia="仿宋_GB2312"/>
          <w:sz w:val="32"/>
          <w:szCs w:val="32"/>
          <w:lang w:eastAsia="zh-CN"/>
        </w:rPr>
        <w:t>被征收单位</w:t>
      </w:r>
      <w:r>
        <w:rPr>
          <w:rFonts w:hint="eastAsia" w:ascii="仿宋_GB2312" w:hAnsi="仿宋" w:eastAsia="仿宋_GB2312"/>
          <w:sz w:val="32"/>
          <w:szCs w:val="32"/>
        </w:rPr>
        <w:t>，按被征收房屋评估补偿总价的10%再给予一次性奖励。</w:t>
      </w:r>
    </w:p>
    <w:p>
      <w:pPr>
        <w:spacing w:line="500" w:lineRule="exact"/>
        <w:ind w:firstLine="640" w:firstLineChars="200"/>
        <w:rPr>
          <w:rFonts w:ascii="仿宋_GB2312" w:hAnsi="仿宋" w:eastAsia="仿宋_GB2312"/>
          <w:sz w:val="32"/>
          <w:szCs w:val="32"/>
        </w:rPr>
      </w:pPr>
      <w:r>
        <w:rPr>
          <w:rFonts w:hint="eastAsia" w:ascii="仿宋_GB2312" w:hAnsi="仿宋" w:eastAsia="仿宋_GB2312"/>
          <w:sz w:val="32"/>
          <w:szCs w:val="32"/>
        </w:rPr>
        <w:t>4.停产停业损失、装饰装修费、搬迁费、临时安置费与货币补偿的支付方式、标准相同。</w:t>
      </w:r>
    </w:p>
    <w:p>
      <w:pPr>
        <w:spacing w:line="500" w:lineRule="exact"/>
        <w:ind w:firstLine="643" w:firstLineChars="200"/>
        <w:rPr>
          <w:rFonts w:ascii="黑体" w:hAnsi="仿宋" w:eastAsia="黑体"/>
          <w:b/>
          <w:sz w:val="32"/>
          <w:szCs w:val="32"/>
        </w:rPr>
      </w:pPr>
      <w:r>
        <w:rPr>
          <w:rFonts w:hint="eastAsia" w:ascii="黑体" w:hAnsi="仿宋" w:eastAsia="黑体"/>
          <w:b/>
          <w:sz w:val="32"/>
          <w:szCs w:val="32"/>
        </w:rPr>
        <w:t>五、搬迁过渡方式、期限和相关费用支付</w:t>
      </w:r>
    </w:p>
    <w:p>
      <w:pPr>
        <w:spacing w:line="500" w:lineRule="exact"/>
        <w:ind w:firstLine="643" w:firstLineChars="200"/>
        <w:rPr>
          <w:rFonts w:hint="eastAsia" w:ascii="楷体_GB2312" w:hAnsi="仿宋" w:eastAsia="楷体_GB2312"/>
          <w:b/>
          <w:sz w:val="32"/>
          <w:szCs w:val="32"/>
        </w:rPr>
      </w:pPr>
      <w:r>
        <w:rPr>
          <w:rFonts w:hint="eastAsia" w:ascii="楷体_GB2312" w:hAnsi="仿宋" w:eastAsia="楷体_GB2312"/>
          <w:b/>
          <w:sz w:val="32"/>
          <w:szCs w:val="32"/>
        </w:rPr>
        <w:t>（一）过渡方式和过渡期限</w:t>
      </w:r>
    </w:p>
    <w:p>
      <w:pPr>
        <w:spacing w:line="500" w:lineRule="exact"/>
        <w:ind w:firstLine="640" w:firstLineChars="200"/>
        <w:rPr>
          <w:rFonts w:ascii="仿宋_GB2312" w:hAnsi="仿宋" w:eastAsia="仿宋_GB2312"/>
          <w:sz w:val="32"/>
          <w:szCs w:val="32"/>
        </w:rPr>
      </w:pPr>
      <w:r>
        <w:rPr>
          <w:rFonts w:hint="eastAsia" w:ascii="仿宋_GB2312" w:hAnsi="仿宋" w:eastAsia="仿宋_GB2312"/>
          <w:sz w:val="32"/>
          <w:szCs w:val="32"/>
        </w:rPr>
        <w:t>本项目搬迁过渡方式采用自行过渡,过渡期限分别为:</w:t>
      </w:r>
    </w:p>
    <w:p>
      <w:pPr>
        <w:spacing w:line="500" w:lineRule="exact"/>
        <w:ind w:firstLine="640" w:firstLineChars="200"/>
        <w:rPr>
          <w:rFonts w:ascii="仿宋_GB2312" w:hAnsi="仿宋" w:eastAsia="仿宋_GB2312"/>
          <w:sz w:val="32"/>
          <w:szCs w:val="32"/>
        </w:rPr>
      </w:pPr>
      <w:r>
        <w:rPr>
          <w:rFonts w:hint="eastAsia" w:ascii="仿宋_GB2312" w:hAnsi="仿宋" w:eastAsia="仿宋_GB2312"/>
          <w:sz w:val="32"/>
          <w:szCs w:val="32"/>
        </w:rPr>
        <w:t>1.对选择货币补偿的</w:t>
      </w:r>
      <w:r>
        <w:rPr>
          <w:rFonts w:hint="eastAsia" w:ascii="仿宋_GB2312" w:hAnsi="仿宋" w:eastAsia="仿宋_GB2312"/>
          <w:sz w:val="32"/>
          <w:szCs w:val="32"/>
          <w:lang w:eastAsia="zh-CN"/>
        </w:rPr>
        <w:t>被征收单位</w:t>
      </w:r>
      <w:r>
        <w:rPr>
          <w:rFonts w:hint="eastAsia" w:ascii="仿宋_GB2312" w:hAnsi="仿宋" w:eastAsia="仿宋_GB2312"/>
          <w:sz w:val="32"/>
          <w:szCs w:val="32"/>
        </w:rPr>
        <w:t>,在</w:t>
      </w:r>
      <w:r>
        <w:rPr>
          <w:rFonts w:hint="eastAsia" w:ascii="仿宋_GB2312" w:hAnsi="仿宋" w:eastAsia="仿宋_GB2312"/>
          <w:sz w:val="32"/>
          <w:szCs w:val="32"/>
          <w:lang w:eastAsia="zh-CN"/>
        </w:rPr>
        <w:t>被征收单位</w:t>
      </w:r>
      <w:r>
        <w:rPr>
          <w:rFonts w:hint="eastAsia" w:ascii="仿宋_GB2312" w:hAnsi="仿宋" w:eastAsia="仿宋_GB2312"/>
          <w:sz w:val="32"/>
          <w:szCs w:val="32"/>
        </w:rPr>
        <w:t>签订协议并搬迁移交被征收房屋后,支付</w:t>
      </w:r>
      <w:r>
        <w:rPr>
          <w:rFonts w:hint="eastAsia" w:ascii="仿宋_GB2312" w:hAnsi="仿宋" w:eastAsia="仿宋_GB2312"/>
          <w:sz w:val="32"/>
          <w:szCs w:val="32"/>
          <w:lang w:eastAsia="zh-CN"/>
        </w:rPr>
        <w:t>被征收单位</w:t>
      </w:r>
      <w:r>
        <w:rPr>
          <w:rFonts w:hint="eastAsia" w:ascii="仿宋_GB2312" w:hAnsi="仿宋" w:eastAsia="仿宋_GB2312"/>
          <w:sz w:val="32"/>
          <w:szCs w:val="32"/>
        </w:rPr>
        <w:t>六个月的临时过渡安置费和一次搬迁费。</w:t>
      </w:r>
    </w:p>
    <w:p>
      <w:pPr>
        <w:spacing w:line="500" w:lineRule="exact"/>
        <w:ind w:firstLine="640" w:firstLineChars="200"/>
        <w:rPr>
          <w:rFonts w:ascii="仿宋_GB2312" w:hAnsi="仿宋" w:eastAsia="仿宋_GB2312"/>
          <w:sz w:val="32"/>
          <w:szCs w:val="32"/>
        </w:rPr>
      </w:pPr>
      <w:r>
        <w:rPr>
          <w:rFonts w:hint="eastAsia" w:ascii="仿宋_GB2312" w:hAnsi="仿宋" w:eastAsia="仿宋_GB2312"/>
          <w:sz w:val="32"/>
          <w:szCs w:val="32"/>
        </w:rPr>
        <w:t>2.对选择产权调换的</w:t>
      </w:r>
      <w:r>
        <w:rPr>
          <w:rFonts w:hint="eastAsia" w:ascii="仿宋_GB2312" w:hAnsi="仿宋" w:eastAsia="仿宋_GB2312"/>
          <w:sz w:val="32"/>
          <w:szCs w:val="32"/>
          <w:lang w:eastAsia="zh-CN"/>
        </w:rPr>
        <w:t>被征收单位</w:t>
      </w:r>
      <w:r>
        <w:rPr>
          <w:rFonts w:hint="eastAsia" w:ascii="仿宋_GB2312" w:hAnsi="仿宋" w:eastAsia="仿宋_GB2312"/>
          <w:sz w:val="32"/>
          <w:szCs w:val="32"/>
        </w:rPr>
        <w:t>，支付自</w:t>
      </w:r>
      <w:r>
        <w:rPr>
          <w:rFonts w:hint="eastAsia" w:ascii="仿宋_GB2312" w:hAnsi="仿宋" w:eastAsia="仿宋_GB2312"/>
          <w:sz w:val="32"/>
          <w:szCs w:val="32"/>
          <w:lang w:eastAsia="zh-CN"/>
        </w:rPr>
        <w:t>被征收单位</w:t>
      </w:r>
      <w:r>
        <w:rPr>
          <w:rFonts w:hint="eastAsia" w:ascii="仿宋_GB2312" w:hAnsi="仿宋" w:eastAsia="仿宋_GB2312"/>
          <w:sz w:val="32"/>
          <w:szCs w:val="32"/>
        </w:rPr>
        <w:t>签订协议并搬迁移交被征收房屋之日起至安置房交付使用后六个月止的临时过渡安置费和二次搬迁费。</w:t>
      </w:r>
    </w:p>
    <w:p>
      <w:pPr>
        <w:spacing w:line="500" w:lineRule="exact"/>
        <w:ind w:firstLine="643" w:firstLineChars="200"/>
        <w:rPr>
          <w:rFonts w:ascii="楷体_GB2312" w:hAnsi="仿宋" w:eastAsia="楷体_GB2312"/>
          <w:b/>
          <w:sz w:val="32"/>
          <w:szCs w:val="32"/>
        </w:rPr>
      </w:pPr>
      <w:r>
        <w:rPr>
          <w:rFonts w:hint="eastAsia" w:ascii="楷体_GB2312" w:hAnsi="仿宋" w:eastAsia="楷体_GB2312"/>
          <w:b/>
          <w:sz w:val="32"/>
          <w:szCs w:val="32"/>
        </w:rPr>
        <w:t>（二）被征收房屋搬迁腾空期限</w:t>
      </w:r>
    </w:p>
    <w:p>
      <w:pPr>
        <w:spacing w:line="500" w:lineRule="exact"/>
        <w:ind w:firstLine="640" w:firstLineChars="200"/>
        <w:rPr>
          <w:rFonts w:ascii="仿宋_GB2312" w:hAnsi="仿宋" w:eastAsia="仿宋_GB2312"/>
          <w:sz w:val="32"/>
          <w:szCs w:val="32"/>
        </w:rPr>
      </w:pPr>
      <w:r>
        <w:rPr>
          <w:rFonts w:hint="eastAsia" w:ascii="仿宋_GB2312" w:hAnsi="仿宋" w:eastAsia="仿宋_GB2312"/>
          <w:sz w:val="32"/>
          <w:szCs w:val="32"/>
        </w:rPr>
        <w:t>房屋搬迁腾空期限为30日，自《国有土地上房屋征收与补偿协议》</w:t>
      </w:r>
      <w:r>
        <w:rPr>
          <w:rFonts w:hint="eastAsia" w:ascii="仿宋_GB2312" w:hAnsi="仿宋" w:eastAsia="仿宋_GB2312"/>
          <w:sz w:val="32"/>
          <w:szCs w:val="32"/>
          <w:lang w:eastAsia="zh-CN"/>
        </w:rPr>
        <w:t>签订</w:t>
      </w:r>
      <w:r>
        <w:rPr>
          <w:rFonts w:hint="eastAsia" w:ascii="仿宋_GB2312" w:hAnsi="仿宋" w:eastAsia="仿宋_GB2312"/>
          <w:sz w:val="32"/>
          <w:szCs w:val="32"/>
        </w:rPr>
        <w:t>协议生效后开始实施（具体时间由房屋征收部门、征收实施单位另行公告）。</w:t>
      </w:r>
    </w:p>
    <w:p>
      <w:pPr>
        <w:spacing w:line="500" w:lineRule="exact"/>
        <w:ind w:firstLine="643" w:firstLineChars="200"/>
        <w:rPr>
          <w:rFonts w:ascii="黑体" w:hAnsi="仿宋" w:eastAsia="黑体"/>
          <w:b/>
          <w:sz w:val="32"/>
          <w:szCs w:val="32"/>
        </w:rPr>
      </w:pPr>
      <w:r>
        <w:rPr>
          <w:rFonts w:hint="eastAsia" w:ascii="黑体" w:hAnsi="仿宋" w:eastAsia="黑体"/>
          <w:b/>
          <w:sz w:val="32"/>
          <w:szCs w:val="32"/>
        </w:rPr>
        <w:t>六、征收补偿资金</w:t>
      </w:r>
    </w:p>
    <w:p>
      <w:pPr>
        <w:spacing w:line="500" w:lineRule="exact"/>
        <w:ind w:firstLine="640" w:firstLineChars="200"/>
        <w:rPr>
          <w:rFonts w:ascii="仿宋_GB2312" w:hAnsi="仿宋" w:eastAsia="仿宋_GB2312"/>
          <w:sz w:val="32"/>
          <w:szCs w:val="32"/>
        </w:rPr>
      </w:pPr>
      <w:r>
        <w:rPr>
          <w:rFonts w:hint="eastAsia" w:ascii="仿宋_GB2312" w:hAnsi="仿宋" w:eastAsia="仿宋_GB2312"/>
          <w:sz w:val="32"/>
          <w:szCs w:val="32"/>
        </w:rPr>
        <w:t>征收补偿资金在市政府作出房屋征收决定前足额到位，同时专户存储，专款专用。</w:t>
      </w:r>
    </w:p>
    <w:p>
      <w:pPr>
        <w:spacing w:line="500" w:lineRule="exact"/>
        <w:ind w:firstLine="643" w:firstLineChars="200"/>
        <w:rPr>
          <w:rFonts w:ascii="黑体" w:hAnsi="仿宋" w:eastAsia="黑体"/>
          <w:b/>
          <w:sz w:val="32"/>
          <w:szCs w:val="32"/>
        </w:rPr>
      </w:pPr>
      <w:r>
        <w:rPr>
          <w:rFonts w:hint="eastAsia" w:ascii="黑体" w:hAnsi="仿宋" w:eastAsia="黑体"/>
          <w:b/>
          <w:sz w:val="32"/>
          <w:szCs w:val="32"/>
        </w:rPr>
        <w:t>七、征收实施步骤</w:t>
      </w:r>
    </w:p>
    <w:p>
      <w:pPr>
        <w:spacing w:line="500" w:lineRule="exact"/>
        <w:ind w:firstLine="640" w:firstLineChars="200"/>
        <w:rPr>
          <w:rFonts w:ascii="仿宋_GB2312" w:hAnsi="仿宋" w:eastAsia="仿宋_GB2312"/>
          <w:sz w:val="32"/>
          <w:szCs w:val="32"/>
        </w:rPr>
      </w:pPr>
      <w:r>
        <w:rPr>
          <w:rFonts w:hint="eastAsia" w:ascii="仿宋_GB2312" w:hAnsi="仿宋" w:eastAsia="仿宋_GB2312"/>
          <w:sz w:val="32"/>
          <w:szCs w:val="32"/>
        </w:rPr>
        <w:t>（一）征收决定书发布后，依据《国有土地上房屋征收评估办法》选择评估机构，开展对被征收范围内的房屋评估工作。</w:t>
      </w:r>
    </w:p>
    <w:p>
      <w:pPr>
        <w:spacing w:line="500" w:lineRule="exact"/>
        <w:ind w:firstLine="640" w:firstLineChars="200"/>
        <w:rPr>
          <w:rFonts w:ascii="仿宋_GB2312" w:hAnsi="仿宋" w:eastAsia="仿宋_GB2312"/>
          <w:sz w:val="32"/>
          <w:szCs w:val="32"/>
        </w:rPr>
      </w:pPr>
      <w:r>
        <w:rPr>
          <w:rFonts w:hint="eastAsia" w:ascii="仿宋_GB2312" w:hAnsi="仿宋" w:eastAsia="仿宋_GB2312"/>
          <w:sz w:val="32"/>
          <w:szCs w:val="32"/>
        </w:rPr>
        <w:t>（二）征收签约期限内，房屋征收部门与</w:t>
      </w:r>
      <w:r>
        <w:rPr>
          <w:rFonts w:hint="eastAsia" w:ascii="仿宋_GB2312" w:hAnsi="仿宋" w:eastAsia="仿宋_GB2312"/>
          <w:sz w:val="32"/>
          <w:szCs w:val="32"/>
          <w:lang w:eastAsia="zh-CN"/>
        </w:rPr>
        <w:t>被征收单位</w:t>
      </w:r>
      <w:r>
        <w:rPr>
          <w:rFonts w:hint="eastAsia" w:ascii="仿宋_GB2312" w:hAnsi="仿宋" w:eastAsia="仿宋_GB2312"/>
          <w:sz w:val="32"/>
          <w:szCs w:val="32"/>
        </w:rPr>
        <w:t>签订征收补偿协议。</w:t>
      </w:r>
      <w:r>
        <w:rPr>
          <w:rFonts w:hint="eastAsia" w:ascii="仿宋_GB2312" w:hAnsi="仿宋" w:eastAsia="仿宋_GB2312"/>
          <w:sz w:val="32"/>
          <w:szCs w:val="32"/>
          <w:lang w:eastAsia="zh-CN"/>
        </w:rPr>
        <w:t>被征收单位</w:t>
      </w:r>
      <w:r>
        <w:rPr>
          <w:rFonts w:hint="eastAsia" w:ascii="仿宋_GB2312" w:hAnsi="仿宋" w:eastAsia="仿宋_GB2312"/>
          <w:sz w:val="32"/>
          <w:szCs w:val="32"/>
        </w:rPr>
        <w:t>在双方协议规定的期限内获得补偿并完成搬迁。</w:t>
      </w:r>
    </w:p>
    <w:p>
      <w:pPr>
        <w:spacing w:line="500" w:lineRule="exact"/>
        <w:ind w:firstLine="640" w:firstLineChars="200"/>
        <w:rPr>
          <w:rFonts w:ascii="仿宋_GB2312" w:hAnsi="仿宋" w:eastAsia="仿宋_GB2312"/>
          <w:sz w:val="32"/>
          <w:szCs w:val="32"/>
        </w:rPr>
      </w:pPr>
      <w:r>
        <w:rPr>
          <w:rFonts w:hint="eastAsia" w:ascii="仿宋_GB2312" w:hAnsi="仿宋" w:eastAsia="仿宋_GB2312"/>
          <w:sz w:val="32"/>
          <w:szCs w:val="32"/>
        </w:rPr>
        <w:t>（三）征收签约期限届满，</w:t>
      </w:r>
      <w:r>
        <w:rPr>
          <w:rFonts w:hint="eastAsia" w:ascii="仿宋_GB2312" w:hAnsi="仿宋" w:eastAsia="仿宋_GB2312"/>
          <w:sz w:val="32"/>
          <w:szCs w:val="32"/>
          <w:lang w:eastAsia="zh-CN"/>
        </w:rPr>
        <w:t>被征收单位</w:t>
      </w:r>
      <w:r>
        <w:rPr>
          <w:rFonts w:hint="eastAsia" w:ascii="仿宋_GB2312" w:hAnsi="仿宋" w:eastAsia="仿宋_GB2312"/>
          <w:sz w:val="32"/>
          <w:szCs w:val="32"/>
        </w:rPr>
        <w:t>未能与房屋征收部门达成补偿协议或者被征收房屋所有权人不明确的，由房屋征收部门报请市人民政府，按照房屋征收补偿方案作出房屋征收补偿决定，并在房屋征收范围内予以公告。</w:t>
      </w:r>
    </w:p>
    <w:p>
      <w:pPr>
        <w:spacing w:line="500" w:lineRule="exact"/>
        <w:ind w:firstLine="643" w:firstLineChars="200"/>
        <w:rPr>
          <w:rFonts w:ascii="黑体" w:hAnsi="仿宋" w:eastAsia="黑体"/>
          <w:b/>
          <w:sz w:val="32"/>
          <w:szCs w:val="32"/>
        </w:rPr>
      </w:pPr>
      <w:r>
        <w:rPr>
          <w:rFonts w:hint="eastAsia" w:ascii="黑体" w:hAnsi="仿宋" w:eastAsia="黑体"/>
          <w:b/>
          <w:sz w:val="32"/>
          <w:szCs w:val="32"/>
        </w:rPr>
        <w:t>八、征收实施单位</w:t>
      </w:r>
    </w:p>
    <w:p>
      <w:pPr>
        <w:spacing w:line="500" w:lineRule="exact"/>
        <w:ind w:firstLine="640" w:firstLineChars="200"/>
        <w:rPr>
          <w:rFonts w:ascii="仿宋_GB2312" w:hAnsi="仿宋" w:eastAsia="仿宋_GB2312"/>
          <w:sz w:val="32"/>
          <w:szCs w:val="32"/>
        </w:rPr>
      </w:pPr>
      <w:r>
        <w:rPr>
          <w:rFonts w:hint="eastAsia" w:ascii="仿宋_GB2312" w:hAnsi="仿宋" w:eastAsia="仿宋_GB2312"/>
          <w:sz w:val="32"/>
          <w:szCs w:val="32"/>
        </w:rPr>
        <w:t>建德市人民政府新安江街道办事处。</w:t>
      </w:r>
    </w:p>
    <w:p>
      <w:pPr>
        <w:spacing w:line="500" w:lineRule="exact"/>
        <w:ind w:firstLine="643" w:firstLineChars="200"/>
        <w:rPr>
          <w:rFonts w:ascii="黑体" w:hAnsi="仿宋" w:eastAsia="黑体"/>
          <w:b/>
          <w:sz w:val="32"/>
          <w:szCs w:val="32"/>
        </w:rPr>
      </w:pPr>
      <w:r>
        <w:rPr>
          <w:rFonts w:hint="eastAsia" w:ascii="黑体" w:hAnsi="仿宋" w:eastAsia="黑体"/>
          <w:b/>
          <w:sz w:val="32"/>
          <w:szCs w:val="32"/>
        </w:rPr>
        <w:t>九、签约期限</w:t>
      </w:r>
    </w:p>
    <w:p>
      <w:pPr>
        <w:spacing w:line="500" w:lineRule="exact"/>
        <w:ind w:firstLine="640" w:firstLineChars="200"/>
        <w:rPr>
          <w:rFonts w:ascii="仿宋_GB2312" w:hAnsi="仿宋" w:eastAsia="仿宋_GB2312"/>
          <w:sz w:val="32"/>
          <w:szCs w:val="32"/>
        </w:rPr>
      </w:pPr>
      <w:r>
        <w:rPr>
          <w:rFonts w:hint="eastAsia" w:ascii="仿宋_GB2312" w:hAnsi="仿宋" w:eastAsia="仿宋_GB2312"/>
          <w:sz w:val="32"/>
          <w:szCs w:val="32"/>
        </w:rPr>
        <w:t>自征收决定公布后正式签约之日起</w:t>
      </w:r>
      <w:r>
        <w:rPr>
          <w:rFonts w:hint="eastAsia" w:ascii="仿宋_GB2312" w:hAnsi="仿宋" w:eastAsia="仿宋_GB2312"/>
          <w:sz w:val="32"/>
          <w:szCs w:val="32"/>
          <w:lang w:eastAsia="zh-CN"/>
        </w:rPr>
        <w:t>两</w:t>
      </w:r>
      <w:r>
        <w:rPr>
          <w:rFonts w:hint="eastAsia" w:ascii="仿宋_GB2312" w:hAnsi="仿宋" w:eastAsia="仿宋_GB2312"/>
          <w:sz w:val="32"/>
          <w:szCs w:val="32"/>
        </w:rPr>
        <w:t>个月</w:t>
      </w:r>
      <w:r>
        <w:rPr>
          <w:rFonts w:hint="eastAsia" w:ascii="仿宋_GB2312" w:hAnsi="仿宋" w:eastAsia="仿宋_GB2312"/>
          <w:sz w:val="32"/>
          <w:szCs w:val="32"/>
        </w:rPr>
        <w:t>内（正式签约期由房屋征收部门、征收实施单位另行公告）。</w:t>
      </w:r>
    </w:p>
    <w:p>
      <w:pPr>
        <w:spacing w:line="500" w:lineRule="exact"/>
        <w:ind w:firstLine="643" w:firstLineChars="200"/>
        <w:rPr>
          <w:rFonts w:ascii="黑体" w:hAnsi="仿宋" w:eastAsia="黑体"/>
          <w:b/>
          <w:sz w:val="32"/>
          <w:szCs w:val="32"/>
        </w:rPr>
      </w:pPr>
      <w:r>
        <w:rPr>
          <w:rFonts w:hint="eastAsia" w:ascii="黑体" w:hAnsi="仿宋" w:eastAsia="黑体"/>
          <w:b/>
          <w:sz w:val="32"/>
          <w:szCs w:val="32"/>
        </w:rPr>
        <w:t>十、其他告知事项</w:t>
      </w:r>
    </w:p>
    <w:p>
      <w:pPr>
        <w:spacing w:line="500" w:lineRule="exact"/>
        <w:ind w:firstLine="640" w:firstLineChars="200"/>
        <w:rPr>
          <w:rFonts w:ascii="仿宋_GB2312" w:hAnsi="仿宋" w:eastAsia="仿宋_GB2312"/>
          <w:sz w:val="32"/>
          <w:szCs w:val="32"/>
        </w:rPr>
      </w:pPr>
      <w:r>
        <w:rPr>
          <w:rFonts w:hint="eastAsia" w:ascii="仿宋_GB2312" w:hAnsi="仿宋" w:eastAsia="仿宋_GB2312"/>
          <w:b w:val="0"/>
          <w:bCs w:val="0"/>
          <w:sz w:val="32"/>
          <w:szCs w:val="32"/>
        </w:rPr>
        <w:t>1.</w:t>
      </w:r>
      <w:r>
        <w:rPr>
          <w:rFonts w:hint="eastAsia" w:ascii="仿宋_GB2312" w:hAnsi="仿宋" w:eastAsia="仿宋_GB2312"/>
          <w:sz w:val="32"/>
          <w:szCs w:val="32"/>
        </w:rPr>
        <w:t>房地产价格评估机构由</w:t>
      </w:r>
      <w:r>
        <w:rPr>
          <w:rFonts w:hint="eastAsia" w:ascii="仿宋_GB2312" w:hAnsi="仿宋" w:eastAsia="仿宋_GB2312"/>
          <w:sz w:val="32"/>
          <w:szCs w:val="32"/>
          <w:lang w:eastAsia="zh-CN"/>
        </w:rPr>
        <w:t>被征收单位</w:t>
      </w:r>
      <w:r>
        <w:rPr>
          <w:rFonts w:hint="eastAsia" w:ascii="仿宋_GB2312" w:hAnsi="仿宋" w:eastAsia="仿宋_GB2312"/>
          <w:sz w:val="32"/>
          <w:szCs w:val="32"/>
        </w:rPr>
        <w:t>协商选定，房屋征收决定公告后十日内仍不能协商选定的，由房屋征收部门通过公开抽签方式随机选定。随机确定房地产价格评估机构应当由公证机构现场公证。</w:t>
      </w:r>
    </w:p>
    <w:p>
      <w:pPr>
        <w:spacing w:line="500" w:lineRule="exact"/>
        <w:ind w:firstLine="640" w:firstLineChars="200"/>
        <w:rPr>
          <w:rFonts w:ascii="仿宋_GB2312" w:hAnsi="仿宋" w:eastAsia="仿宋_GB2312"/>
          <w:sz w:val="32"/>
          <w:szCs w:val="32"/>
        </w:rPr>
      </w:pPr>
      <w:r>
        <w:rPr>
          <w:rFonts w:hint="eastAsia" w:ascii="仿宋_GB2312" w:hAnsi="仿宋" w:eastAsia="仿宋_GB2312"/>
          <w:sz w:val="32"/>
          <w:szCs w:val="32"/>
          <w:lang w:val="en-US" w:eastAsia="zh-CN"/>
        </w:rPr>
        <w:t>2</w:t>
      </w:r>
      <w:r>
        <w:rPr>
          <w:rFonts w:hint="eastAsia" w:ascii="仿宋_GB2312" w:hAnsi="仿宋" w:eastAsia="仿宋_GB2312"/>
          <w:sz w:val="32"/>
          <w:szCs w:val="32"/>
        </w:rPr>
        <w:t>.房屋征收决定公告后，房地产价格评估机构对房屋进行实地踏勘，调查被征收房屋状况，</w:t>
      </w:r>
      <w:r>
        <w:rPr>
          <w:rFonts w:hint="eastAsia" w:ascii="仿宋_GB2312" w:hAnsi="仿宋" w:eastAsia="仿宋_GB2312"/>
          <w:sz w:val="32"/>
          <w:szCs w:val="32"/>
          <w:lang w:eastAsia="zh-CN"/>
        </w:rPr>
        <w:t>被征收单位</w:t>
      </w:r>
      <w:r>
        <w:rPr>
          <w:rFonts w:hint="eastAsia" w:ascii="仿宋_GB2312" w:hAnsi="仿宋" w:eastAsia="仿宋_GB2312"/>
          <w:sz w:val="32"/>
          <w:szCs w:val="32"/>
        </w:rPr>
        <w:t>应提供或协助搜集被征收房屋价值评估所必需的情况和资料。</w:t>
      </w:r>
    </w:p>
    <w:p>
      <w:pPr>
        <w:spacing w:line="500" w:lineRule="exact"/>
        <w:ind w:firstLine="640" w:firstLineChars="200"/>
        <w:rPr>
          <w:rFonts w:ascii="仿宋_GB2312" w:hAnsi="仿宋" w:eastAsia="仿宋_GB2312"/>
          <w:sz w:val="32"/>
          <w:szCs w:val="32"/>
        </w:rPr>
      </w:pPr>
      <w:r>
        <w:rPr>
          <w:rFonts w:hint="eastAsia" w:ascii="仿宋_GB2312" w:hAnsi="仿宋" w:eastAsia="仿宋_GB2312"/>
          <w:sz w:val="32"/>
          <w:szCs w:val="32"/>
          <w:lang w:val="en-US" w:eastAsia="zh-CN"/>
        </w:rPr>
        <w:t>3</w:t>
      </w:r>
      <w:r>
        <w:rPr>
          <w:rFonts w:hint="eastAsia" w:ascii="仿宋_GB2312" w:hAnsi="仿宋" w:eastAsia="仿宋_GB2312"/>
          <w:sz w:val="32"/>
          <w:szCs w:val="32"/>
        </w:rPr>
        <w:t>.对征收范围内未登记建筑参照《杭州市人民政府关于贯彻执行〈浙江省国有土地上房屋征收补偿条例〉的若干意见》（杭政函〔2015〕125号）、《杭州市区国有土地上房屋征收范围内未登记建筑认定办法》（杭政办函〔2013〕16号）等规定，并结合我市实际进行认定和处理。</w:t>
      </w:r>
    </w:p>
    <w:p>
      <w:pPr>
        <w:spacing w:line="500" w:lineRule="exact"/>
        <w:ind w:firstLine="640" w:firstLineChars="200"/>
        <w:rPr>
          <w:rFonts w:ascii="仿宋_GB2312" w:hAnsi="仿宋" w:eastAsia="仿宋_GB2312"/>
          <w:sz w:val="32"/>
          <w:szCs w:val="32"/>
        </w:rPr>
      </w:pPr>
      <w:r>
        <w:rPr>
          <w:rFonts w:hint="eastAsia" w:ascii="仿宋_GB2312" w:hAnsi="仿宋" w:eastAsia="仿宋_GB2312"/>
          <w:sz w:val="32"/>
          <w:szCs w:val="32"/>
          <w:lang w:val="en-US" w:eastAsia="zh-CN"/>
        </w:rPr>
        <w:t>4</w:t>
      </w:r>
      <w:r>
        <w:rPr>
          <w:rFonts w:hint="eastAsia" w:ascii="仿宋_GB2312" w:hAnsi="仿宋" w:eastAsia="仿宋_GB2312"/>
          <w:sz w:val="32"/>
          <w:szCs w:val="32"/>
        </w:rPr>
        <w:t>.</w:t>
      </w:r>
      <w:r>
        <w:rPr>
          <w:rFonts w:hint="eastAsia" w:ascii="仿宋_GB2312" w:hAnsi="仿宋" w:eastAsia="仿宋_GB2312"/>
          <w:sz w:val="32"/>
          <w:szCs w:val="32"/>
          <w:lang w:eastAsia="zh-CN"/>
        </w:rPr>
        <w:t>被征收单位</w:t>
      </w:r>
      <w:r>
        <w:rPr>
          <w:rFonts w:hint="eastAsia" w:ascii="仿宋_GB2312" w:hAnsi="仿宋" w:eastAsia="仿宋_GB2312"/>
          <w:sz w:val="32"/>
          <w:szCs w:val="32"/>
        </w:rPr>
        <w:t>在签订协议时，应同步提交所涉房屋所有权证、共有权证、土地使用权证、其他建房相关权证等证件。</w:t>
      </w:r>
    </w:p>
    <w:p>
      <w:pPr>
        <w:spacing w:line="500"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lang w:val="en-US" w:eastAsia="zh-CN"/>
        </w:rPr>
        <w:t>5</w:t>
      </w:r>
      <w:r>
        <w:rPr>
          <w:rFonts w:hint="eastAsia" w:ascii="仿宋_GB2312" w:hAnsi="仿宋" w:eastAsia="仿宋_GB2312"/>
          <w:sz w:val="32"/>
          <w:szCs w:val="32"/>
        </w:rPr>
        <w:t>.</w:t>
      </w:r>
      <w:r>
        <w:rPr>
          <w:rFonts w:hint="eastAsia" w:ascii="仿宋_GB2312" w:hAnsi="仿宋" w:eastAsia="仿宋_GB2312"/>
          <w:sz w:val="32"/>
          <w:szCs w:val="32"/>
          <w:lang w:eastAsia="zh-CN"/>
        </w:rPr>
        <w:t>被征收单位</w:t>
      </w:r>
      <w:r>
        <w:rPr>
          <w:rFonts w:hint="eastAsia" w:ascii="仿宋_GB2312" w:hAnsi="仿宋" w:eastAsia="仿宋_GB2312"/>
          <w:sz w:val="32"/>
          <w:szCs w:val="32"/>
        </w:rPr>
        <w:t>选择产权调换的</w:t>
      </w:r>
      <w:r>
        <w:rPr>
          <w:rFonts w:hint="eastAsia" w:ascii="仿宋_GB2312" w:hAnsi="仿宋" w:eastAsia="仿宋_GB2312"/>
          <w:sz w:val="32"/>
          <w:szCs w:val="32"/>
          <w:lang w:eastAsia="zh-CN"/>
        </w:rPr>
        <w:t>选房办法</w:t>
      </w:r>
      <w:r>
        <w:rPr>
          <w:rFonts w:hint="eastAsia" w:ascii="仿宋_GB2312" w:hAnsi="仿宋" w:eastAsia="仿宋_GB2312"/>
          <w:sz w:val="32"/>
          <w:szCs w:val="32"/>
        </w:rPr>
        <w:t>：被征收房屋搬迁腾空后，</w:t>
      </w:r>
      <w:r>
        <w:rPr>
          <w:rFonts w:hint="eastAsia" w:ascii="仿宋_GB2312" w:hAnsi="仿宋" w:eastAsia="仿宋_GB2312"/>
          <w:sz w:val="32"/>
          <w:szCs w:val="32"/>
          <w:lang w:eastAsia="zh-CN"/>
        </w:rPr>
        <w:t>方</w:t>
      </w:r>
      <w:r>
        <w:rPr>
          <w:rFonts w:hint="eastAsia" w:ascii="仿宋_GB2312" w:hAnsi="仿宋" w:eastAsia="仿宋_GB2312"/>
          <w:sz w:val="32"/>
          <w:szCs w:val="32"/>
        </w:rPr>
        <w:t>可实施安置房选房工作。选房按照“先签协议并按期腾空先选房”原则实施，具体选房办法由房屋征收部门、征收实施单位另行制定。</w:t>
      </w:r>
    </w:p>
    <w:p>
      <w:pPr>
        <w:spacing w:line="500"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lang w:val="en-US" w:eastAsia="zh-CN"/>
        </w:rPr>
        <w:t>6</w:t>
      </w:r>
      <w:r>
        <w:rPr>
          <w:rFonts w:hint="eastAsia" w:ascii="仿宋_GB2312" w:hAnsi="仿宋" w:eastAsia="仿宋_GB2312"/>
          <w:sz w:val="32"/>
          <w:szCs w:val="32"/>
        </w:rPr>
        <w:t>.</w:t>
      </w:r>
      <w:r>
        <w:rPr>
          <w:rFonts w:hint="eastAsia" w:ascii="仿宋_GB2312" w:hAnsi="仿宋" w:eastAsia="仿宋_GB2312"/>
          <w:sz w:val="32"/>
          <w:szCs w:val="32"/>
          <w:lang w:eastAsia="zh-CN"/>
        </w:rPr>
        <w:t>被征收单位</w:t>
      </w:r>
      <w:r>
        <w:rPr>
          <w:rFonts w:hint="eastAsia" w:ascii="仿宋_GB2312" w:hAnsi="仿宋" w:eastAsia="仿宋_GB2312"/>
          <w:sz w:val="32"/>
          <w:szCs w:val="32"/>
        </w:rPr>
        <w:t>未按规定时间签约、腾空移交被征收房屋的，不享受相应的签订协议进度奖、按期搬迁腾空奖及被征收房屋面积奖。</w:t>
      </w:r>
    </w:p>
    <w:p>
      <w:pPr>
        <w:spacing w:line="500"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lang w:val="en-US" w:eastAsia="zh-CN"/>
        </w:rPr>
        <w:t>7.我市原有相关规定与本方案规定不一致的，按本方案规定执行。对本方案未及事项，市住建局和新安江街道办可结合</w:t>
      </w:r>
      <w:r>
        <w:rPr>
          <w:rFonts w:hint="eastAsia" w:ascii="仿宋_GB2312" w:hAnsi="仿宋" w:eastAsia="仿宋_GB2312"/>
          <w:sz w:val="32"/>
          <w:szCs w:val="32"/>
        </w:rPr>
        <w:t>实际，另行作出补充规定。</w:t>
      </w:r>
    </w:p>
    <w:p>
      <w:pPr>
        <w:spacing w:line="500"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rPr>
        <w:t>本方案由房屋征收部门市住建局负责解释。</w:t>
      </w:r>
    </w:p>
    <w:p>
      <w:pPr>
        <w:spacing w:line="500" w:lineRule="exact"/>
        <w:ind w:firstLine="640" w:firstLineChars="200"/>
        <w:rPr>
          <w:rFonts w:hint="eastAsia" w:ascii="仿宋_GB2312" w:hAnsi="仿宋" w:eastAsia="仿宋_GB2312"/>
          <w:sz w:val="32"/>
          <w:szCs w:val="32"/>
        </w:rPr>
      </w:pPr>
    </w:p>
    <w:p>
      <w:pPr>
        <w:widowControl/>
        <w:shd w:val="clear" w:color="auto" w:fill="FFFFFF"/>
        <w:spacing w:before="100" w:beforeAutospacing="1" w:after="100" w:afterAutospacing="1" w:line="500" w:lineRule="exact"/>
        <w:ind w:firstLine="640"/>
        <w:rPr>
          <w:rFonts w:hint="eastAsia" w:ascii="仿宋_GB2312" w:hAnsi="仿宋" w:eastAsia="仿宋_GB2312"/>
          <w:b/>
          <w:sz w:val="32"/>
          <w:szCs w:val="32"/>
        </w:rPr>
      </w:pPr>
      <w:r>
        <w:rPr>
          <w:rFonts w:hint="eastAsia" w:ascii="黑体" w:hAnsi="黑体" w:eastAsia="黑体" w:cs="宋体"/>
          <w:b/>
          <w:bCs/>
          <w:kern w:val="0"/>
          <w:sz w:val="32"/>
          <w:szCs w:val="32"/>
        </w:rPr>
        <w:t xml:space="preserve">                         </w:t>
      </w:r>
      <w:r>
        <w:rPr>
          <w:rFonts w:hint="eastAsia" w:ascii="仿宋_GB2312" w:hAnsi="仿宋" w:eastAsia="仿宋_GB2312"/>
          <w:sz w:val="32"/>
          <w:szCs w:val="32"/>
        </w:rPr>
        <w:t xml:space="preserve">    </w:t>
      </w:r>
      <w:r>
        <w:rPr>
          <w:rFonts w:hint="eastAsia" w:ascii="仿宋_GB2312" w:hAnsi="仿宋" w:eastAsia="仿宋_GB2312"/>
          <w:b/>
          <w:sz w:val="32"/>
          <w:szCs w:val="32"/>
        </w:rPr>
        <w:t>建德市人民政府</w:t>
      </w:r>
    </w:p>
    <w:p>
      <w:pPr>
        <w:widowControl/>
        <w:shd w:val="clear" w:color="auto" w:fill="FFFFFF"/>
        <w:spacing w:before="100" w:beforeAutospacing="1" w:after="100" w:afterAutospacing="1" w:line="500" w:lineRule="exact"/>
        <w:ind w:firstLine="640"/>
        <w:rPr>
          <w:rFonts w:ascii="仿宋_GB2312" w:hAnsi="仿宋" w:eastAsia="仿宋_GB2312"/>
          <w:b/>
          <w:color w:val="FF0000"/>
          <w:sz w:val="32"/>
          <w:szCs w:val="32"/>
        </w:rPr>
      </w:pPr>
      <w:r>
        <w:rPr>
          <w:rFonts w:hint="eastAsia" w:ascii="仿宋_GB2312" w:hAnsi="仿宋" w:eastAsia="仿宋_GB2312"/>
          <w:b/>
          <w:sz w:val="32"/>
          <w:szCs w:val="32"/>
        </w:rPr>
        <w:t xml:space="preserve">                            </w:t>
      </w:r>
      <w:r>
        <w:rPr>
          <w:rFonts w:hint="eastAsia" w:ascii="仿宋_GB2312" w:hAnsi="仿宋" w:eastAsia="仿宋_GB2312"/>
          <w:b/>
          <w:color w:val="FF0000"/>
          <w:sz w:val="32"/>
          <w:szCs w:val="32"/>
        </w:rPr>
        <w:t xml:space="preserve"> </w:t>
      </w:r>
      <w:r>
        <w:rPr>
          <w:rFonts w:hint="eastAsia" w:ascii="仿宋_GB2312" w:hAnsi="仿宋" w:eastAsia="仿宋_GB2312"/>
          <w:b/>
          <w:color w:val="auto"/>
          <w:sz w:val="32"/>
          <w:szCs w:val="32"/>
        </w:rPr>
        <w:t>20</w:t>
      </w:r>
      <w:r>
        <w:rPr>
          <w:rFonts w:hint="eastAsia" w:ascii="仿宋_GB2312" w:hAnsi="仿宋" w:eastAsia="仿宋_GB2312"/>
          <w:b/>
          <w:color w:val="auto"/>
          <w:sz w:val="32"/>
          <w:szCs w:val="32"/>
          <w:lang w:val="en-US" w:eastAsia="zh-CN"/>
        </w:rPr>
        <w:t>21</w:t>
      </w:r>
      <w:r>
        <w:rPr>
          <w:rFonts w:hint="eastAsia" w:ascii="仿宋_GB2312" w:hAnsi="仿宋" w:eastAsia="仿宋_GB2312"/>
          <w:b/>
          <w:color w:val="auto"/>
          <w:sz w:val="32"/>
          <w:szCs w:val="32"/>
        </w:rPr>
        <w:t>年</w:t>
      </w:r>
      <w:r>
        <w:rPr>
          <w:rFonts w:hint="eastAsia" w:ascii="仿宋_GB2312" w:hAnsi="仿宋" w:eastAsia="仿宋_GB2312"/>
          <w:b/>
          <w:color w:val="auto"/>
          <w:sz w:val="32"/>
          <w:szCs w:val="32"/>
          <w:lang w:val="en-US" w:eastAsia="zh-CN"/>
        </w:rPr>
        <w:t>11</w:t>
      </w:r>
      <w:r>
        <w:rPr>
          <w:rFonts w:hint="eastAsia" w:ascii="仿宋_GB2312" w:hAnsi="仿宋" w:eastAsia="仿宋_GB2312"/>
          <w:b/>
          <w:color w:val="auto"/>
          <w:sz w:val="32"/>
          <w:szCs w:val="32"/>
        </w:rPr>
        <w:t>月</w:t>
      </w:r>
      <w:r>
        <w:rPr>
          <w:rFonts w:hint="eastAsia" w:ascii="仿宋_GB2312" w:hAnsi="仿宋" w:eastAsia="仿宋_GB2312"/>
          <w:b/>
          <w:color w:val="auto"/>
          <w:sz w:val="32"/>
          <w:szCs w:val="32"/>
          <w:lang w:val="en-US" w:eastAsia="zh-CN"/>
        </w:rPr>
        <w:t>4</w:t>
      </w:r>
      <w:bookmarkStart w:id="2" w:name="_GoBack"/>
      <w:bookmarkEnd w:id="2"/>
      <w:r>
        <w:rPr>
          <w:rFonts w:hint="eastAsia" w:ascii="仿宋_GB2312" w:hAnsi="仿宋" w:eastAsia="仿宋_GB2312"/>
          <w:b/>
          <w:color w:val="auto"/>
          <w:sz w:val="32"/>
          <w:szCs w:val="32"/>
        </w:rPr>
        <w:t>日</w:t>
      </w:r>
    </w:p>
    <w:p/>
    <w:sectPr>
      <w:headerReference r:id="rId3" w:type="default"/>
      <w:footerReference r:id="rId4" w:type="default"/>
      <w:footerReference r:id="rId5" w:type="even"/>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6"/>
      </w:rPr>
    </w:pPr>
    <w:r>
      <w:fldChar w:fldCharType="begin"/>
    </w:r>
    <w:r>
      <w:rPr>
        <w:rStyle w:val="6"/>
      </w:rPr>
      <w:instrText xml:space="preserve">PAGE  </w:instrText>
    </w:r>
    <w:r>
      <w:fldChar w:fldCharType="separate"/>
    </w:r>
    <w:r>
      <w:rPr>
        <w:rStyle w:val="6"/>
      </w:rPr>
      <w:t>11</w:t>
    </w:r>
    <w:r>
      <w:fldChar w:fldCharType="end"/>
    </w:r>
  </w:p>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6"/>
      </w:rPr>
    </w:pPr>
    <w:r>
      <w:fldChar w:fldCharType="begin"/>
    </w:r>
    <w:r>
      <w:rPr>
        <w:rStyle w:val="6"/>
      </w:rPr>
      <w:instrText xml:space="preserve">PAGE  </w:instrText>
    </w:r>
    <w:r>
      <w:fldChar w:fldCharType="end"/>
    </w:r>
  </w:p>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C2D7054"/>
    <w:multiLevelType w:val="singleLevel"/>
    <w:tmpl w:val="5C2D7054"/>
    <w:lvl w:ilvl="0" w:tentative="0">
      <w:start w:val="2"/>
      <w:numFmt w:val="chineseCounting"/>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2531673"/>
    <w:rsid w:val="02865EA8"/>
    <w:rsid w:val="03E61E65"/>
    <w:rsid w:val="064B54A7"/>
    <w:rsid w:val="08FA4789"/>
    <w:rsid w:val="09AA1926"/>
    <w:rsid w:val="0DEE450D"/>
    <w:rsid w:val="1F652D6C"/>
    <w:rsid w:val="224E0FA3"/>
    <w:rsid w:val="2B9B1D57"/>
    <w:rsid w:val="2D35780B"/>
    <w:rsid w:val="31F16B8B"/>
    <w:rsid w:val="3313113A"/>
    <w:rsid w:val="35325022"/>
    <w:rsid w:val="41983DE7"/>
    <w:rsid w:val="41CE1361"/>
    <w:rsid w:val="42CE61BD"/>
    <w:rsid w:val="447340B8"/>
    <w:rsid w:val="4A330A0C"/>
    <w:rsid w:val="4B095F11"/>
    <w:rsid w:val="4D221E1D"/>
    <w:rsid w:val="4E3D7857"/>
    <w:rsid w:val="50865BC0"/>
    <w:rsid w:val="538A39C4"/>
    <w:rsid w:val="57330947"/>
    <w:rsid w:val="59EF5ACD"/>
    <w:rsid w:val="5A313420"/>
    <w:rsid w:val="5EE01882"/>
    <w:rsid w:val="62531673"/>
    <w:rsid w:val="62B7326C"/>
    <w:rsid w:val="63840779"/>
    <w:rsid w:val="67F2268E"/>
    <w:rsid w:val="697B154C"/>
    <w:rsid w:val="73A4523B"/>
    <w:rsid w:val="7D0275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6">
    <w:name w:val="page number"/>
    <w:basedOn w:val="5"/>
    <w:qFormat/>
    <w:uiPriority w:val="0"/>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59</TotalTime>
  <ScaleCrop>false</ScaleCrop>
  <LinksUpToDate>false</LinksUpToDate>
  <CharactersWithSpaces>0</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2019-01-03T01:35:00Z</dcterms:created>
  <dc:creator>Administrator</dc:creator>
  <cp:lastModifiedBy>Administrator</cp:lastModifiedBy>
  <cp:lastPrinted>2019-06-28T02:46:00Z</cp:lastPrinted>
  <dcterms:modified xsi:type="dcterms:W3CDTF">2021-11-04T01:36:22Z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C32C68C96CE34F62A3B00B6CB5019961</vt:lpwstr>
  </property>
</Properties>
</file>